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0" w:rsidRPr="00C54630" w:rsidRDefault="00B37F23" w:rsidP="00464324">
      <w:pPr>
        <w:pStyle w:val="GuidelineText"/>
      </w:pPr>
      <w:r w:rsidRPr="00B37F23">
        <w:rPr>
          <w:noProof/>
          <w:lang w:eastAsia="en-GB"/>
        </w:rPr>
        <w:drawing>
          <wp:anchor distT="0" distB="0" distL="114300" distR="114300" simplePos="0" relativeHeight="251659264" behindDoc="1" locked="0" layoutInCell="1" allowOverlap="1">
            <wp:simplePos x="0" y="0"/>
            <wp:positionH relativeFrom="page">
              <wp:posOffset>170125</wp:posOffset>
            </wp:positionH>
            <wp:positionV relativeFrom="page">
              <wp:posOffset>87465</wp:posOffset>
            </wp:positionV>
            <wp:extent cx="1085546" cy="1081377"/>
            <wp:effectExtent l="19050" t="0" r="304"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9" cstate="print"/>
                    <a:srcRect/>
                    <a:stretch>
                      <a:fillRect/>
                    </a:stretch>
                  </pic:blipFill>
                  <pic:spPr bwMode="auto">
                    <a:xfrm>
                      <a:off x="0" y="0"/>
                      <a:ext cx="1085546" cy="1081377"/>
                    </a:xfrm>
                    <a:prstGeom prst="rect">
                      <a:avLst/>
                    </a:prstGeom>
                    <a:noFill/>
                    <a:ln w="9525">
                      <a:noFill/>
                      <a:miter lim="800000"/>
                      <a:headEnd/>
                      <a:tailEnd/>
                    </a:ln>
                  </pic:spPr>
                </pic:pic>
              </a:graphicData>
            </a:graphic>
          </wp:anchor>
        </w:drawing>
      </w:r>
    </w:p>
    <w:p w:rsidR="000D5E80" w:rsidRPr="00C54630" w:rsidRDefault="000D5E80" w:rsidP="00464324">
      <w:pPr>
        <w:pStyle w:val="GuidelineText"/>
      </w:pPr>
    </w:p>
    <w:p w:rsidR="000D5E80" w:rsidRPr="00C54630" w:rsidRDefault="000D5E80" w:rsidP="00464324">
      <w:pPr>
        <w:pStyle w:val="GuidelineText"/>
      </w:pPr>
    </w:p>
    <w:p w:rsidR="000D5E80" w:rsidRDefault="000D5E80" w:rsidP="00464324">
      <w:pPr>
        <w:pStyle w:val="GuidelineText"/>
      </w:pPr>
    </w:p>
    <w:p w:rsidR="00994865" w:rsidRDefault="00994865" w:rsidP="00464324">
      <w:pPr>
        <w:pStyle w:val="GuidelineText"/>
      </w:pPr>
    </w:p>
    <w:p w:rsidR="007500AF" w:rsidRDefault="007500AF" w:rsidP="00B37F23">
      <w:pPr>
        <w:pStyle w:val="TITL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B37F23" w:rsidTr="00B37F23">
        <w:tc>
          <w:tcPr>
            <w:tcW w:w="9242" w:type="dxa"/>
          </w:tcPr>
          <w:p w:rsidR="00B37F23" w:rsidRPr="0077717C" w:rsidRDefault="00B37F23" w:rsidP="00B37F23">
            <w:pPr>
              <w:rPr>
                <w:rFonts w:ascii="DINPro-Medium" w:hAnsi="DINPro-Medium"/>
                <w:color w:val="009DDC"/>
                <w:sz w:val="40"/>
                <w:szCs w:val="40"/>
              </w:rPr>
            </w:pPr>
            <w:r w:rsidRPr="0077717C">
              <w:rPr>
                <w:rFonts w:ascii="DINPro-Medium" w:hAnsi="DINPro-Medium"/>
                <w:color w:val="009DDC"/>
                <w:sz w:val="40"/>
                <w:szCs w:val="40"/>
              </w:rPr>
              <w:t>Incentive Guideline</w:t>
            </w:r>
          </w:p>
        </w:tc>
      </w:tr>
      <w:tr w:rsidR="00B37F23" w:rsidTr="00B37F23">
        <w:trPr>
          <w:trHeight w:val="2002"/>
        </w:trPr>
        <w:tc>
          <w:tcPr>
            <w:tcW w:w="9242" w:type="dxa"/>
          </w:tcPr>
          <w:p w:rsidR="00B37F23" w:rsidRDefault="00B37F23" w:rsidP="00B37F23">
            <w:pPr>
              <w:pStyle w:val="Heading1"/>
              <w:spacing w:before="0"/>
              <w:ind w:left="425" w:hanging="425"/>
              <w:outlineLvl w:val="0"/>
            </w:pPr>
          </w:p>
          <w:p w:rsidR="00B37F23" w:rsidRPr="00B37F23" w:rsidRDefault="00B37F23" w:rsidP="00B37F23">
            <w:pPr>
              <w:pStyle w:val="Heading1"/>
              <w:spacing w:before="0"/>
              <w:ind w:left="425" w:hanging="425"/>
              <w:outlineLvl w:val="0"/>
              <w:rPr>
                <w:rFonts w:ascii="DINPro-Medium" w:hAnsi="DINPro-Medium"/>
                <w:b w:val="0"/>
                <w:sz w:val="40"/>
                <w:szCs w:val="40"/>
              </w:rPr>
            </w:pPr>
            <w:r w:rsidRPr="00B37F23">
              <w:rPr>
                <w:rFonts w:ascii="DINPro-Medium" w:hAnsi="DINPro-Medium"/>
                <w:b w:val="0"/>
                <w:sz w:val="40"/>
                <w:szCs w:val="40"/>
              </w:rPr>
              <w:t>Exploratory Award</w:t>
            </w:r>
          </w:p>
          <w:p w:rsidR="00B37F23" w:rsidRPr="00B37F23" w:rsidRDefault="00B37F23" w:rsidP="00B37F23">
            <w:pPr>
              <w:spacing w:before="0"/>
              <w:rPr>
                <w:rFonts w:ascii="DINPro" w:hAnsi="DINPro"/>
                <w:sz w:val="32"/>
                <w:szCs w:val="32"/>
              </w:rPr>
            </w:pPr>
            <w:r w:rsidRPr="00B37F23">
              <w:rPr>
                <w:rFonts w:ascii="DINPro" w:hAnsi="DINPro"/>
                <w:sz w:val="32"/>
                <w:szCs w:val="32"/>
              </w:rPr>
              <w:t>(Assistance in the preparation and submission of proposal for participation in projects funded by the FP7 or CIP)</w:t>
            </w:r>
          </w:p>
        </w:tc>
      </w:tr>
      <w:tr w:rsidR="00B37F23" w:rsidTr="00B37F23">
        <w:trPr>
          <w:trHeight w:val="5314"/>
        </w:trPr>
        <w:tc>
          <w:tcPr>
            <w:tcW w:w="9242" w:type="dxa"/>
          </w:tcPr>
          <w:p w:rsidR="00B37F23" w:rsidRDefault="00B37F23" w:rsidP="00B37F23">
            <w:pPr>
              <w:spacing w:before="0" w:line="276" w:lineRule="auto"/>
            </w:pPr>
          </w:p>
        </w:tc>
      </w:tr>
      <w:tr w:rsidR="00B37F23" w:rsidTr="00B37F23">
        <w:trPr>
          <w:trHeight w:val="2259"/>
        </w:trPr>
        <w:tc>
          <w:tcPr>
            <w:tcW w:w="9242" w:type="dxa"/>
          </w:tcPr>
          <w:p w:rsidR="00B37F23" w:rsidRDefault="00B37F23" w:rsidP="00B37F23">
            <w:pPr>
              <w:spacing w:before="0" w:line="276" w:lineRule="auto"/>
              <w:jc w:val="right"/>
            </w:pPr>
            <w:r w:rsidRPr="001F43FD">
              <w:rPr>
                <w:noProof/>
                <w:lang w:eastAsia="en-GB"/>
              </w:rPr>
              <w:drawing>
                <wp:inline distT="0" distB="0" distL="0" distR="0">
                  <wp:extent cx="2301528" cy="1175657"/>
                  <wp:effectExtent l="19050" t="0" r="0" b="0"/>
                  <wp:docPr id="1"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298065" cy="1179830"/>
                          </a:xfrm>
                          <a:prstGeom prst="rect">
                            <a:avLst/>
                          </a:prstGeom>
                          <a:noFill/>
                          <a:ln>
                            <a:noFill/>
                          </a:ln>
                        </pic:spPr>
                      </pic:pic>
                    </a:graphicData>
                  </a:graphic>
                </wp:inline>
              </w:drawing>
            </w:r>
          </w:p>
        </w:tc>
      </w:tr>
    </w:tbl>
    <w:p w:rsidR="00B37F23" w:rsidRDefault="00B426A2" w:rsidP="00D96119">
      <w:pPr>
        <w:pStyle w:val="TITLE"/>
      </w:pPr>
      <w:r w:rsidRPr="00B426A2">
        <w:rPr>
          <w:noProof/>
          <w:lang w:eastAsia="en-GB"/>
        </w:rPr>
        <w:lastRenderedPageBreak/>
        <w:drawing>
          <wp:anchor distT="0" distB="0" distL="114300" distR="114300" simplePos="0" relativeHeight="251661312" behindDoc="1" locked="0" layoutInCell="1" allowOverlap="1">
            <wp:simplePos x="0" y="0"/>
            <wp:positionH relativeFrom="page">
              <wp:posOffset>315829</wp:posOffset>
            </wp:positionH>
            <wp:positionV relativeFrom="page">
              <wp:posOffset>248653</wp:posOffset>
            </wp:positionV>
            <wp:extent cx="1087855" cy="1082842"/>
            <wp:effectExtent l="19050" t="0" r="304" b="0"/>
            <wp:wrapNone/>
            <wp:docPr id="2"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9" cstate="print"/>
                    <a:srcRect/>
                    <a:stretch>
                      <a:fillRect/>
                    </a:stretch>
                  </pic:blipFill>
                  <pic:spPr bwMode="auto">
                    <a:xfrm>
                      <a:off x="0" y="0"/>
                      <a:ext cx="1085546" cy="1081377"/>
                    </a:xfrm>
                    <a:prstGeom prst="rect">
                      <a:avLst/>
                    </a:prstGeom>
                    <a:noFill/>
                    <a:ln w="9525">
                      <a:noFill/>
                      <a:miter lim="800000"/>
                      <a:headEnd/>
                      <a:tailEnd/>
                    </a:ln>
                  </pic:spPr>
                </pic:pic>
              </a:graphicData>
            </a:graphic>
          </wp:anchor>
        </w:drawing>
      </w:r>
    </w:p>
    <w:p w:rsidR="00B37F23" w:rsidRDefault="00B37F23" w:rsidP="00B37F23">
      <w:pPr>
        <w:pStyle w:val="TITLE"/>
        <w:jc w:val="left"/>
      </w:pPr>
    </w:p>
    <w:p w:rsidR="00B37F23" w:rsidRDefault="00B37F23" w:rsidP="00D96119">
      <w:pPr>
        <w:pStyle w:val="TITLE"/>
      </w:pPr>
    </w:p>
    <w:p w:rsidR="00B37F23" w:rsidRDefault="00B37F23" w:rsidP="00D96119">
      <w:pPr>
        <w:pStyle w:val="TITLE"/>
      </w:pPr>
    </w:p>
    <w:p w:rsidR="00B37F23" w:rsidRPr="00806598" w:rsidRDefault="00B37F23" w:rsidP="00D96119">
      <w:pPr>
        <w:pStyle w:val="TITLE"/>
      </w:pPr>
    </w:p>
    <w:p w:rsidR="0002745B" w:rsidRDefault="0002745B" w:rsidP="00464324">
      <w:pPr>
        <w:pStyle w:val="GuidelineText"/>
        <w:rPr>
          <w:highlight w:val="yellow"/>
        </w:rPr>
      </w:pPr>
    </w:p>
    <w:tbl>
      <w:tblPr>
        <w:tblStyle w:val="TableGrid"/>
        <w:tblpPr w:leftFromText="180" w:rightFromText="180" w:vertAnchor="text" w:horzAnchor="margin" w:tblpXSpec="right"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5481"/>
      </w:tblGrid>
      <w:tr w:rsidR="00B37F23" w:rsidTr="00B37F23">
        <w:trPr>
          <w:trHeight w:val="562"/>
        </w:trPr>
        <w:tc>
          <w:tcPr>
            <w:tcW w:w="2235" w:type="dxa"/>
          </w:tcPr>
          <w:p w:rsidR="00B37F23" w:rsidRPr="00E358B7" w:rsidRDefault="00B37F23" w:rsidP="00B37F23">
            <w:pPr>
              <w:spacing w:before="0"/>
              <w:rPr>
                <w:rFonts w:eastAsiaTheme="majorEastAsia" w:cstheme="majorBidi"/>
                <w:bCs/>
                <w:sz w:val="24"/>
              </w:rPr>
            </w:pPr>
            <w:r>
              <w:rPr>
                <w:rFonts w:eastAsiaTheme="majorEastAsia" w:cstheme="majorBidi"/>
                <w:bCs/>
                <w:sz w:val="24"/>
              </w:rPr>
              <w:t>Issue Date:</w:t>
            </w:r>
          </w:p>
        </w:tc>
        <w:tc>
          <w:tcPr>
            <w:tcW w:w="5481" w:type="dxa"/>
          </w:tcPr>
          <w:p w:rsidR="00B37F23" w:rsidRPr="0021028B" w:rsidRDefault="00DD52DF" w:rsidP="00B37F23">
            <w:pPr>
              <w:spacing w:before="0"/>
              <w:rPr>
                <w:sz w:val="24"/>
              </w:rPr>
            </w:pPr>
            <w:r>
              <w:rPr>
                <w:sz w:val="24"/>
              </w:rPr>
              <w:t>5</w:t>
            </w:r>
            <w:r w:rsidRPr="00DD52DF">
              <w:rPr>
                <w:sz w:val="24"/>
                <w:vertAlign w:val="superscript"/>
              </w:rPr>
              <w:t>th</w:t>
            </w:r>
            <w:r>
              <w:rPr>
                <w:sz w:val="24"/>
              </w:rPr>
              <w:t xml:space="preserve"> April 2011</w:t>
            </w:r>
          </w:p>
        </w:tc>
      </w:tr>
      <w:tr w:rsidR="00B37F23" w:rsidTr="00B37F23">
        <w:trPr>
          <w:trHeight w:val="551"/>
        </w:trPr>
        <w:tc>
          <w:tcPr>
            <w:tcW w:w="2235" w:type="dxa"/>
          </w:tcPr>
          <w:p w:rsidR="00B37F23" w:rsidRPr="00E358B7" w:rsidRDefault="00B37F23" w:rsidP="00B37F23">
            <w:pPr>
              <w:spacing w:before="0"/>
              <w:rPr>
                <w:rFonts w:eastAsiaTheme="majorEastAsia" w:cstheme="majorBidi"/>
                <w:bCs/>
                <w:color w:val="000000" w:themeColor="text1"/>
                <w:sz w:val="24"/>
              </w:rPr>
            </w:pPr>
            <w:r>
              <w:rPr>
                <w:rFonts w:eastAsiaTheme="majorEastAsia" w:cstheme="majorBidi"/>
                <w:bCs/>
                <w:color w:val="000000" w:themeColor="text1"/>
                <w:sz w:val="24"/>
              </w:rPr>
              <w:t>Version:</w:t>
            </w:r>
          </w:p>
        </w:tc>
        <w:tc>
          <w:tcPr>
            <w:tcW w:w="5481" w:type="dxa"/>
          </w:tcPr>
          <w:p w:rsidR="00B37F23" w:rsidRPr="004D1363" w:rsidRDefault="00B37F23" w:rsidP="00B37F23">
            <w:pPr>
              <w:spacing w:before="0" w:line="276" w:lineRule="auto"/>
              <w:rPr>
                <w:rFonts w:eastAsiaTheme="majorEastAsia" w:cstheme="majorBidi"/>
                <w:bCs/>
                <w:sz w:val="24"/>
              </w:rPr>
            </w:pPr>
            <w:r>
              <w:rPr>
                <w:rFonts w:eastAsiaTheme="majorEastAsia" w:cstheme="majorBidi"/>
                <w:bCs/>
                <w:sz w:val="24"/>
              </w:rPr>
              <w:t>1.</w:t>
            </w:r>
            <w:r w:rsidR="00AB220F">
              <w:rPr>
                <w:rFonts w:eastAsiaTheme="majorEastAsia" w:cstheme="majorBidi"/>
                <w:bCs/>
                <w:sz w:val="24"/>
              </w:rPr>
              <w:t>4</w:t>
            </w:r>
          </w:p>
        </w:tc>
      </w:tr>
      <w:tr w:rsidR="00B37F23" w:rsidTr="001B1DA9">
        <w:trPr>
          <w:trHeight w:val="835"/>
        </w:trPr>
        <w:tc>
          <w:tcPr>
            <w:tcW w:w="2235" w:type="dxa"/>
          </w:tcPr>
          <w:p w:rsidR="00B37F23" w:rsidRPr="00E358B7" w:rsidRDefault="00B37F23" w:rsidP="001B1DA9">
            <w:pPr>
              <w:spacing w:before="0"/>
              <w:jc w:val="left"/>
              <w:rPr>
                <w:rFonts w:eastAsiaTheme="majorEastAsia" w:cstheme="majorBidi"/>
                <w:bCs/>
                <w:color w:val="000000" w:themeColor="text1"/>
                <w:sz w:val="24"/>
              </w:rPr>
            </w:pPr>
            <w:r>
              <w:rPr>
                <w:rFonts w:eastAsiaTheme="majorEastAsia" w:cstheme="majorBidi"/>
                <w:bCs/>
                <w:color w:val="000000" w:themeColor="text1"/>
                <w:sz w:val="24"/>
              </w:rPr>
              <w:t>Updated:</w:t>
            </w:r>
          </w:p>
        </w:tc>
        <w:tc>
          <w:tcPr>
            <w:tcW w:w="5481" w:type="dxa"/>
            <w:vAlign w:val="center"/>
          </w:tcPr>
          <w:p w:rsidR="001B1DA9" w:rsidRDefault="00F5652E" w:rsidP="00B37F23">
            <w:pPr>
              <w:spacing w:before="0"/>
              <w:rPr>
                <w:sz w:val="24"/>
              </w:rPr>
            </w:pPr>
            <w:r>
              <w:rPr>
                <w:sz w:val="24"/>
              </w:rPr>
              <w:t>12</w:t>
            </w:r>
            <w:r w:rsidRPr="00F5652E">
              <w:rPr>
                <w:sz w:val="24"/>
                <w:vertAlign w:val="superscript"/>
              </w:rPr>
              <w:t>th</w:t>
            </w:r>
            <w:r>
              <w:rPr>
                <w:sz w:val="24"/>
              </w:rPr>
              <w:t xml:space="preserve"> April 201</w:t>
            </w:r>
            <w:r w:rsidR="001B1DA9">
              <w:rPr>
                <w:sz w:val="24"/>
              </w:rPr>
              <w:t>3</w:t>
            </w:r>
          </w:p>
          <w:p w:rsidR="001B1DA9" w:rsidRPr="0021028B" w:rsidRDefault="001B1DA9" w:rsidP="00B37F23">
            <w:pPr>
              <w:spacing w:before="0"/>
              <w:rPr>
                <w:sz w:val="24"/>
              </w:rPr>
            </w:pPr>
            <w:r>
              <w:rPr>
                <w:sz w:val="24"/>
              </w:rPr>
              <w:t>17</w:t>
            </w:r>
            <w:r w:rsidRPr="001B1DA9">
              <w:rPr>
                <w:sz w:val="24"/>
                <w:vertAlign w:val="superscript"/>
              </w:rPr>
              <w:t>th</w:t>
            </w:r>
            <w:r>
              <w:rPr>
                <w:sz w:val="24"/>
              </w:rPr>
              <w:t xml:space="preserve"> July 2013</w:t>
            </w:r>
          </w:p>
        </w:tc>
      </w:tr>
      <w:tr w:rsidR="00B37F23" w:rsidTr="00B37F23">
        <w:tc>
          <w:tcPr>
            <w:tcW w:w="7716" w:type="dxa"/>
            <w:gridSpan w:val="2"/>
            <w:vAlign w:val="center"/>
          </w:tcPr>
          <w:p w:rsidR="00B37F23" w:rsidRPr="004D1363" w:rsidRDefault="00B37F23" w:rsidP="00B37F23">
            <w:pPr>
              <w:rPr>
                <w:color w:val="009DDC"/>
                <w:sz w:val="24"/>
              </w:rPr>
            </w:pPr>
            <w:r w:rsidRPr="004D1363">
              <w:rPr>
                <w:color w:val="009DDC"/>
                <w:sz w:val="24"/>
              </w:rPr>
              <w:t>http://support.maltaenterprise.com</w:t>
            </w:r>
          </w:p>
        </w:tc>
      </w:tr>
    </w:tbl>
    <w:p w:rsidR="007500AF" w:rsidRDefault="00C600D0" w:rsidP="00B37F23">
      <w:pPr>
        <w:pStyle w:val="TITLESMALL"/>
        <w:jc w:val="left"/>
      </w:pPr>
      <w:r>
        <w:br w:type="page"/>
      </w:r>
    </w:p>
    <w:p w:rsidR="00AA0A53" w:rsidRDefault="00AA0A53" w:rsidP="00F5652E">
      <w:pPr>
        <w:pStyle w:val="Heading1"/>
        <w:pBdr>
          <w:bottom w:val="none" w:sz="0" w:space="0" w:color="auto"/>
        </w:pBdr>
        <w:rPr>
          <w:rFonts w:ascii="DINPro-Medium" w:hAnsi="DINPro-Medium"/>
        </w:rPr>
      </w:pPr>
      <w:bookmarkStart w:id="0" w:name="_Toc163899595"/>
      <w:bookmarkStart w:id="1" w:name="_Toc172007334"/>
      <w:bookmarkStart w:id="2" w:name="_Toc160854043"/>
      <w:r w:rsidRPr="00F5652E">
        <w:rPr>
          <w:rFonts w:ascii="DINPro-Medium" w:hAnsi="DINPro-Medium"/>
        </w:rPr>
        <w:lastRenderedPageBreak/>
        <w:t>CONTENTS</w:t>
      </w:r>
      <w:bookmarkEnd w:id="0"/>
      <w:bookmarkEnd w:id="1"/>
    </w:p>
    <w:p w:rsidR="00F5652E" w:rsidRPr="00F5652E" w:rsidRDefault="00F5652E" w:rsidP="00F5652E">
      <w:pPr>
        <w:pStyle w:val="Heading2"/>
        <w:rPr>
          <w:b w:val="0"/>
          <w:i w:val="0"/>
        </w:rPr>
      </w:pPr>
    </w:p>
    <w:p w:rsidR="00C600D0" w:rsidRDefault="00C941CA">
      <w:pPr>
        <w:pStyle w:val="TOC1"/>
        <w:rPr>
          <w:rFonts w:ascii="Times New Roman" w:hAnsi="Times New Roman"/>
          <w:noProof/>
          <w:sz w:val="24"/>
          <w:lang w:val="en-US"/>
        </w:rPr>
      </w:pPr>
      <w:r w:rsidRPr="00C941CA">
        <w:fldChar w:fldCharType="begin"/>
      </w:r>
      <w:r w:rsidR="00AA0A53">
        <w:instrText xml:space="preserve"> TOC \o "1-1" \h \z \u </w:instrText>
      </w:r>
      <w:r w:rsidRPr="00C941CA">
        <w:fldChar w:fldCharType="separate"/>
      </w:r>
      <w:hyperlink w:anchor="_Toc172007334" w:history="1">
        <w:r w:rsidR="00C600D0" w:rsidRPr="001A4579">
          <w:rPr>
            <w:rStyle w:val="Hyperlink"/>
            <w:noProof/>
          </w:rPr>
          <w:t>CONTENTS</w:t>
        </w:r>
        <w:r w:rsidR="00C600D0">
          <w:rPr>
            <w:noProof/>
            <w:webHidden/>
          </w:rPr>
          <w:tab/>
        </w:r>
        <w:r>
          <w:rPr>
            <w:noProof/>
            <w:webHidden/>
          </w:rPr>
          <w:fldChar w:fldCharType="begin"/>
        </w:r>
        <w:r w:rsidR="00C600D0">
          <w:rPr>
            <w:noProof/>
            <w:webHidden/>
          </w:rPr>
          <w:instrText xml:space="preserve"> PAGEREF _Toc172007334 \h </w:instrText>
        </w:r>
        <w:r>
          <w:rPr>
            <w:noProof/>
            <w:webHidden/>
          </w:rPr>
        </w:r>
        <w:r>
          <w:rPr>
            <w:noProof/>
            <w:webHidden/>
          </w:rPr>
          <w:fldChar w:fldCharType="separate"/>
        </w:r>
        <w:r w:rsidR="00AE5B71">
          <w:rPr>
            <w:noProof/>
            <w:webHidden/>
          </w:rPr>
          <w:t>3</w:t>
        </w:r>
        <w:r>
          <w:rPr>
            <w:noProof/>
            <w:webHidden/>
          </w:rPr>
          <w:fldChar w:fldCharType="end"/>
        </w:r>
      </w:hyperlink>
    </w:p>
    <w:p w:rsidR="00C600D0" w:rsidRDefault="00C941CA">
      <w:pPr>
        <w:pStyle w:val="TOC1"/>
        <w:rPr>
          <w:rFonts w:ascii="Times New Roman" w:hAnsi="Times New Roman"/>
          <w:noProof/>
          <w:sz w:val="24"/>
          <w:lang w:val="en-US"/>
        </w:rPr>
      </w:pPr>
      <w:hyperlink w:anchor="_Toc172007335" w:history="1">
        <w:r w:rsidR="00C600D0" w:rsidRPr="001A4579">
          <w:rPr>
            <w:rStyle w:val="Hyperlink"/>
            <w:noProof/>
          </w:rPr>
          <w:t>1.</w:t>
        </w:r>
        <w:r w:rsidR="00C600D0">
          <w:rPr>
            <w:rFonts w:ascii="Times New Roman" w:hAnsi="Times New Roman"/>
            <w:noProof/>
            <w:sz w:val="24"/>
            <w:lang w:val="en-US"/>
          </w:rPr>
          <w:tab/>
        </w:r>
        <w:r w:rsidR="00C600D0" w:rsidRPr="001A4579">
          <w:rPr>
            <w:rStyle w:val="Hyperlink"/>
            <w:noProof/>
          </w:rPr>
          <w:t>Introduction</w:t>
        </w:r>
        <w:r w:rsidR="00C600D0">
          <w:rPr>
            <w:noProof/>
            <w:webHidden/>
          </w:rPr>
          <w:tab/>
        </w:r>
        <w:r>
          <w:rPr>
            <w:noProof/>
            <w:webHidden/>
          </w:rPr>
          <w:fldChar w:fldCharType="begin"/>
        </w:r>
        <w:r w:rsidR="00C600D0">
          <w:rPr>
            <w:noProof/>
            <w:webHidden/>
          </w:rPr>
          <w:instrText xml:space="preserve"> PAGEREF _Toc172007335 \h </w:instrText>
        </w:r>
        <w:r>
          <w:rPr>
            <w:noProof/>
            <w:webHidden/>
          </w:rPr>
        </w:r>
        <w:r>
          <w:rPr>
            <w:noProof/>
            <w:webHidden/>
          </w:rPr>
          <w:fldChar w:fldCharType="separate"/>
        </w:r>
        <w:r w:rsidR="00AE5B71">
          <w:rPr>
            <w:noProof/>
            <w:webHidden/>
          </w:rPr>
          <w:t>4</w:t>
        </w:r>
        <w:r>
          <w:rPr>
            <w:noProof/>
            <w:webHidden/>
          </w:rPr>
          <w:fldChar w:fldCharType="end"/>
        </w:r>
      </w:hyperlink>
    </w:p>
    <w:p w:rsidR="00C600D0" w:rsidRDefault="00C941CA">
      <w:pPr>
        <w:pStyle w:val="TOC1"/>
        <w:rPr>
          <w:rFonts w:ascii="Times New Roman" w:hAnsi="Times New Roman"/>
          <w:noProof/>
          <w:sz w:val="24"/>
          <w:lang w:val="en-US"/>
        </w:rPr>
      </w:pPr>
      <w:hyperlink w:anchor="_Toc172007336" w:history="1">
        <w:r w:rsidR="00C600D0" w:rsidRPr="001A4579">
          <w:rPr>
            <w:rStyle w:val="Hyperlink"/>
            <w:noProof/>
          </w:rPr>
          <w:t>2.</w:t>
        </w:r>
        <w:r w:rsidR="00C600D0">
          <w:rPr>
            <w:rFonts w:ascii="Times New Roman" w:hAnsi="Times New Roman"/>
            <w:noProof/>
            <w:sz w:val="24"/>
            <w:lang w:val="en-US"/>
          </w:rPr>
          <w:tab/>
        </w:r>
        <w:r w:rsidR="00C600D0" w:rsidRPr="001A4579">
          <w:rPr>
            <w:rStyle w:val="Hyperlink"/>
            <w:noProof/>
          </w:rPr>
          <w:t>Eligibility</w:t>
        </w:r>
        <w:r w:rsidR="00C600D0">
          <w:rPr>
            <w:noProof/>
            <w:webHidden/>
          </w:rPr>
          <w:tab/>
        </w:r>
        <w:r>
          <w:rPr>
            <w:noProof/>
            <w:webHidden/>
          </w:rPr>
          <w:fldChar w:fldCharType="begin"/>
        </w:r>
        <w:r w:rsidR="00C600D0">
          <w:rPr>
            <w:noProof/>
            <w:webHidden/>
          </w:rPr>
          <w:instrText xml:space="preserve"> PAGEREF _Toc172007336 \h </w:instrText>
        </w:r>
        <w:r>
          <w:rPr>
            <w:noProof/>
            <w:webHidden/>
          </w:rPr>
        </w:r>
        <w:r>
          <w:rPr>
            <w:noProof/>
            <w:webHidden/>
          </w:rPr>
          <w:fldChar w:fldCharType="separate"/>
        </w:r>
        <w:r w:rsidR="00AE5B71">
          <w:rPr>
            <w:noProof/>
            <w:webHidden/>
          </w:rPr>
          <w:t>4</w:t>
        </w:r>
        <w:r>
          <w:rPr>
            <w:noProof/>
            <w:webHidden/>
          </w:rPr>
          <w:fldChar w:fldCharType="end"/>
        </w:r>
      </w:hyperlink>
    </w:p>
    <w:p w:rsidR="00C600D0" w:rsidRDefault="00C941CA">
      <w:pPr>
        <w:pStyle w:val="TOC1"/>
        <w:rPr>
          <w:rFonts w:ascii="Times New Roman" w:hAnsi="Times New Roman"/>
          <w:noProof/>
          <w:sz w:val="24"/>
          <w:lang w:val="en-US"/>
        </w:rPr>
      </w:pPr>
      <w:hyperlink w:anchor="_Toc172007337" w:history="1">
        <w:r w:rsidR="00C600D0" w:rsidRPr="001A4579">
          <w:rPr>
            <w:rStyle w:val="Hyperlink"/>
            <w:noProof/>
          </w:rPr>
          <w:t>3.</w:t>
        </w:r>
        <w:r w:rsidR="00C600D0">
          <w:rPr>
            <w:rFonts w:ascii="Times New Roman" w:hAnsi="Times New Roman"/>
            <w:noProof/>
            <w:sz w:val="24"/>
            <w:lang w:val="en-US"/>
          </w:rPr>
          <w:tab/>
        </w:r>
        <w:r w:rsidR="00C600D0" w:rsidRPr="001A4579">
          <w:rPr>
            <w:rStyle w:val="Hyperlink"/>
            <w:noProof/>
          </w:rPr>
          <w:t>Incentive Description</w:t>
        </w:r>
        <w:r w:rsidR="00C600D0">
          <w:rPr>
            <w:noProof/>
            <w:webHidden/>
          </w:rPr>
          <w:tab/>
        </w:r>
        <w:r>
          <w:rPr>
            <w:noProof/>
            <w:webHidden/>
          </w:rPr>
          <w:fldChar w:fldCharType="begin"/>
        </w:r>
        <w:r w:rsidR="00C600D0">
          <w:rPr>
            <w:noProof/>
            <w:webHidden/>
          </w:rPr>
          <w:instrText xml:space="preserve"> PAGEREF _Toc172007337 \h </w:instrText>
        </w:r>
        <w:r>
          <w:rPr>
            <w:noProof/>
            <w:webHidden/>
          </w:rPr>
        </w:r>
        <w:r>
          <w:rPr>
            <w:noProof/>
            <w:webHidden/>
          </w:rPr>
          <w:fldChar w:fldCharType="separate"/>
        </w:r>
        <w:r w:rsidR="00AE5B71">
          <w:rPr>
            <w:noProof/>
            <w:webHidden/>
          </w:rPr>
          <w:t>5</w:t>
        </w:r>
        <w:r>
          <w:rPr>
            <w:noProof/>
            <w:webHidden/>
          </w:rPr>
          <w:fldChar w:fldCharType="end"/>
        </w:r>
      </w:hyperlink>
    </w:p>
    <w:p w:rsidR="00C600D0" w:rsidRDefault="00C941CA">
      <w:pPr>
        <w:pStyle w:val="TOC1"/>
        <w:rPr>
          <w:rFonts w:ascii="Times New Roman" w:hAnsi="Times New Roman"/>
          <w:noProof/>
          <w:sz w:val="24"/>
          <w:lang w:val="en-US"/>
        </w:rPr>
      </w:pPr>
      <w:hyperlink w:anchor="_Toc172007338" w:history="1">
        <w:r w:rsidR="00C600D0" w:rsidRPr="001A4579">
          <w:rPr>
            <w:rStyle w:val="Hyperlink"/>
            <w:noProof/>
          </w:rPr>
          <w:t>4.</w:t>
        </w:r>
        <w:r w:rsidR="00C600D0">
          <w:rPr>
            <w:rFonts w:ascii="Times New Roman" w:hAnsi="Times New Roman"/>
            <w:noProof/>
            <w:sz w:val="24"/>
            <w:lang w:val="en-US"/>
          </w:rPr>
          <w:tab/>
        </w:r>
        <w:r w:rsidR="00C600D0" w:rsidRPr="001A4579">
          <w:rPr>
            <w:rStyle w:val="Hyperlink"/>
            <w:noProof/>
          </w:rPr>
          <w:t>Evaluation and Assignment of Aid</w:t>
        </w:r>
        <w:r w:rsidR="00C600D0">
          <w:rPr>
            <w:noProof/>
            <w:webHidden/>
          </w:rPr>
          <w:tab/>
        </w:r>
        <w:r>
          <w:rPr>
            <w:noProof/>
            <w:webHidden/>
          </w:rPr>
          <w:fldChar w:fldCharType="begin"/>
        </w:r>
        <w:r w:rsidR="00C600D0">
          <w:rPr>
            <w:noProof/>
            <w:webHidden/>
          </w:rPr>
          <w:instrText xml:space="preserve"> PAGEREF _Toc172007338 \h </w:instrText>
        </w:r>
        <w:r>
          <w:rPr>
            <w:noProof/>
            <w:webHidden/>
          </w:rPr>
        </w:r>
        <w:r>
          <w:rPr>
            <w:noProof/>
            <w:webHidden/>
          </w:rPr>
          <w:fldChar w:fldCharType="separate"/>
        </w:r>
        <w:r w:rsidR="00AE5B71">
          <w:rPr>
            <w:noProof/>
            <w:webHidden/>
          </w:rPr>
          <w:t>6</w:t>
        </w:r>
        <w:r>
          <w:rPr>
            <w:noProof/>
            <w:webHidden/>
          </w:rPr>
          <w:fldChar w:fldCharType="end"/>
        </w:r>
      </w:hyperlink>
    </w:p>
    <w:p w:rsidR="00C600D0" w:rsidRDefault="00C941CA">
      <w:pPr>
        <w:pStyle w:val="TOC1"/>
        <w:rPr>
          <w:rFonts w:ascii="Times New Roman" w:hAnsi="Times New Roman"/>
          <w:noProof/>
          <w:sz w:val="24"/>
          <w:lang w:val="en-US"/>
        </w:rPr>
      </w:pPr>
      <w:hyperlink w:anchor="_Toc172007339" w:history="1">
        <w:r w:rsidR="00C600D0" w:rsidRPr="001A4579">
          <w:rPr>
            <w:rStyle w:val="Hyperlink"/>
            <w:noProof/>
          </w:rPr>
          <w:t>5</w:t>
        </w:r>
        <w:r w:rsidR="00C600D0">
          <w:rPr>
            <w:rFonts w:ascii="Times New Roman" w:hAnsi="Times New Roman"/>
            <w:noProof/>
            <w:sz w:val="24"/>
            <w:lang w:val="en-US"/>
          </w:rPr>
          <w:tab/>
        </w:r>
        <w:r w:rsidR="00C600D0" w:rsidRPr="001A4579">
          <w:rPr>
            <w:rStyle w:val="Hyperlink"/>
            <w:noProof/>
          </w:rPr>
          <w:t>Further Information</w:t>
        </w:r>
        <w:r w:rsidR="00C600D0">
          <w:rPr>
            <w:noProof/>
            <w:webHidden/>
          </w:rPr>
          <w:tab/>
        </w:r>
        <w:r>
          <w:rPr>
            <w:noProof/>
            <w:webHidden/>
          </w:rPr>
          <w:fldChar w:fldCharType="begin"/>
        </w:r>
        <w:r w:rsidR="00C600D0">
          <w:rPr>
            <w:noProof/>
            <w:webHidden/>
          </w:rPr>
          <w:instrText xml:space="preserve"> PAGEREF _Toc172007339 \h </w:instrText>
        </w:r>
        <w:r>
          <w:rPr>
            <w:noProof/>
            <w:webHidden/>
          </w:rPr>
        </w:r>
        <w:r>
          <w:rPr>
            <w:noProof/>
            <w:webHidden/>
          </w:rPr>
          <w:fldChar w:fldCharType="separate"/>
        </w:r>
        <w:r w:rsidR="00AE5B71">
          <w:rPr>
            <w:noProof/>
            <w:webHidden/>
          </w:rPr>
          <w:t>7</w:t>
        </w:r>
        <w:r>
          <w:rPr>
            <w:noProof/>
            <w:webHidden/>
          </w:rPr>
          <w:fldChar w:fldCharType="end"/>
        </w:r>
      </w:hyperlink>
    </w:p>
    <w:p w:rsidR="00C600D0" w:rsidRDefault="00C941CA">
      <w:pPr>
        <w:pStyle w:val="TOC1"/>
        <w:rPr>
          <w:rFonts w:ascii="Times New Roman" w:hAnsi="Times New Roman"/>
          <w:noProof/>
          <w:sz w:val="24"/>
          <w:lang w:val="en-US"/>
        </w:rPr>
      </w:pPr>
      <w:hyperlink w:anchor="_Toc172007340" w:history="1">
        <w:r w:rsidR="00C600D0" w:rsidRPr="001A4579">
          <w:rPr>
            <w:rStyle w:val="Hyperlink"/>
            <w:noProof/>
          </w:rPr>
          <w:t>6</w:t>
        </w:r>
        <w:r w:rsidR="00C600D0">
          <w:rPr>
            <w:rFonts w:ascii="Times New Roman" w:hAnsi="Times New Roman"/>
            <w:noProof/>
            <w:sz w:val="24"/>
            <w:lang w:val="en-US"/>
          </w:rPr>
          <w:tab/>
        </w:r>
        <w:r w:rsidR="00C600D0" w:rsidRPr="001A4579">
          <w:rPr>
            <w:rStyle w:val="Hyperlink"/>
            <w:noProof/>
          </w:rPr>
          <w:t>State Aid Rules and Obligations</w:t>
        </w:r>
        <w:r w:rsidR="00C600D0">
          <w:rPr>
            <w:noProof/>
            <w:webHidden/>
          </w:rPr>
          <w:tab/>
        </w:r>
        <w:r>
          <w:rPr>
            <w:noProof/>
            <w:webHidden/>
          </w:rPr>
          <w:fldChar w:fldCharType="begin"/>
        </w:r>
        <w:r w:rsidR="00C600D0">
          <w:rPr>
            <w:noProof/>
            <w:webHidden/>
          </w:rPr>
          <w:instrText xml:space="preserve"> PAGEREF _Toc172007340 \h </w:instrText>
        </w:r>
        <w:r>
          <w:rPr>
            <w:noProof/>
            <w:webHidden/>
          </w:rPr>
        </w:r>
        <w:r>
          <w:rPr>
            <w:noProof/>
            <w:webHidden/>
          </w:rPr>
          <w:fldChar w:fldCharType="separate"/>
        </w:r>
        <w:r w:rsidR="00AE5B71">
          <w:rPr>
            <w:noProof/>
            <w:webHidden/>
          </w:rPr>
          <w:t>8</w:t>
        </w:r>
        <w:r>
          <w:rPr>
            <w:noProof/>
            <w:webHidden/>
          </w:rPr>
          <w:fldChar w:fldCharType="end"/>
        </w:r>
      </w:hyperlink>
    </w:p>
    <w:p w:rsidR="00C600D0" w:rsidRDefault="00C941CA">
      <w:pPr>
        <w:pStyle w:val="TOC1"/>
        <w:rPr>
          <w:rStyle w:val="Hyperlink"/>
          <w:noProof/>
        </w:rPr>
      </w:pPr>
      <w:hyperlink w:anchor="_Toc172007341" w:history="1">
        <w:r w:rsidR="00C600D0" w:rsidRPr="001A4579">
          <w:rPr>
            <w:rStyle w:val="Hyperlink"/>
            <w:noProof/>
          </w:rPr>
          <w:t>7.</w:t>
        </w:r>
        <w:r w:rsidR="00C600D0">
          <w:rPr>
            <w:rFonts w:ascii="Times New Roman" w:hAnsi="Times New Roman"/>
            <w:noProof/>
            <w:sz w:val="24"/>
            <w:lang w:val="en-US"/>
          </w:rPr>
          <w:tab/>
        </w:r>
        <w:r w:rsidR="00C600D0" w:rsidRPr="001A4579">
          <w:rPr>
            <w:rStyle w:val="Hyperlink"/>
            <w:noProof/>
          </w:rPr>
          <w:t>Contact Details</w:t>
        </w:r>
        <w:r w:rsidR="00C600D0">
          <w:rPr>
            <w:noProof/>
            <w:webHidden/>
          </w:rPr>
          <w:tab/>
        </w:r>
        <w:r>
          <w:rPr>
            <w:noProof/>
            <w:webHidden/>
          </w:rPr>
          <w:fldChar w:fldCharType="begin"/>
        </w:r>
        <w:r w:rsidR="00C600D0">
          <w:rPr>
            <w:noProof/>
            <w:webHidden/>
          </w:rPr>
          <w:instrText xml:space="preserve"> PAGEREF _Toc172007341 \h </w:instrText>
        </w:r>
        <w:r>
          <w:rPr>
            <w:noProof/>
            <w:webHidden/>
          </w:rPr>
        </w:r>
        <w:r>
          <w:rPr>
            <w:noProof/>
            <w:webHidden/>
          </w:rPr>
          <w:fldChar w:fldCharType="separate"/>
        </w:r>
        <w:r w:rsidR="00AE5B71">
          <w:rPr>
            <w:noProof/>
            <w:webHidden/>
          </w:rPr>
          <w:t>9</w:t>
        </w:r>
        <w:r>
          <w:rPr>
            <w:noProof/>
            <w:webHidden/>
          </w:rPr>
          <w:fldChar w:fldCharType="end"/>
        </w:r>
      </w:hyperlink>
    </w:p>
    <w:p w:rsidR="00C600D0" w:rsidRDefault="00C600D0" w:rsidP="00C600D0">
      <w:pPr>
        <w:rPr>
          <w:noProof/>
        </w:rPr>
      </w:pPr>
      <w:r>
        <w:rPr>
          <w:noProof/>
        </w:rPr>
        <w:t>Annex 1</w:t>
      </w:r>
      <w:r>
        <w:rPr>
          <w:noProof/>
        </w:rPr>
        <w:tab/>
        <w:t xml:space="preserve">Application Process </w:t>
      </w:r>
    </w:p>
    <w:p w:rsidR="00C600D0" w:rsidRDefault="00C600D0" w:rsidP="00C600D0">
      <w:pPr>
        <w:rPr>
          <w:noProof/>
        </w:rPr>
      </w:pPr>
      <w:r>
        <w:rPr>
          <w:noProof/>
        </w:rPr>
        <w:t>Annex 2</w:t>
      </w:r>
      <w:r>
        <w:rPr>
          <w:noProof/>
        </w:rPr>
        <w:tab/>
        <w:t>Claims</w:t>
      </w:r>
    </w:p>
    <w:p w:rsidR="00C600D0" w:rsidRDefault="00C600D0" w:rsidP="00C600D0">
      <w:pPr>
        <w:rPr>
          <w:noProof/>
        </w:rPr>
      </w:pPr>
      <w:r>
        <w:rPr>
          <w:noProof/>
        </w:rPr>
        <w:t>Annex 3</w:t>
      </w:r>
      <w:r>
        <w:rPr>
          <w:noProof/>
        </w:rPr>
        <w:tab/>
        <w:t xml:space="preserve">General Rules and Conditions </w:t>
      </w:r>
    </w:p>
    <w:p w:rsidR="00F5652E" w:rsidRDefault="00F5652E" w:rsidP="00C600D0">
      <w:pPr>
        <w:rPr>
          <w:noProof/>
        </w:rPr>
      </w:pPr>
      <w:r>
        <w:rPr>
          <w:noProof/>
        </w:rPr>
        <w:t>Annex 4 - Per Diem rates per Country</w:t>
      </w:r>
    </w:p>
    <w:p w:rsidR="00C600D0" w:rsidRDefault="00C600D0" w:rsidP="00C600D0">
      <w:pPr>
        <w:rPr>
          <w:noProof/>
        </w:rPr>
      </w:pPr>
    </w:p>
    <w:p w:rsidR="00F5652E" w:rsidRDefault="00F5652E" w:rsidP="00C600D0">
      <w:pPr>
        <w:rPr>
          <w:noProof/>
        </w:rPr>
      </w:pPr>
    </w:p>
    <w:p w:rsidR="00C600D0" w:rsidRPr="00F5652E" w:rsidRDefault="00C600D0" w:rsidP="00C600D0">
      <w:pPr>
        <w:rPr>
          <w:rFonts w:ascii="DINPro-Medium" w:hAnsi="DINPro-Medium"/>
          <w:b/>
          <w:noProof/>
          <w:sz w:val="28"/>
          <w:szCs w:val="28"/>
        </w:rPr>
      </w:pPr>
      <w:r w:rsidRPr="00F5652E">
        <w:rPr>
          <w:rFonts w:ascii="DINPro-Medium" w:hAnsi="DINPro-Medium"/>
          <w:b/>
          <w:noProof/>
          <w:sz w:val="28"/>
          <w:szCs w:val="28"/>
        </w:rPr>
        <w:t>ABBREVIATIONS</w:t>
      </w:r>
    </w:p>
    <w:p w:rsidR="00C600D0" w:rsidRDefault="00C600D0" w:rsidP="00C600D0">
      <w:pPr>
        <w:rPr>
          <w:b/>
          <w:noProof/>
        </w:rPr>
      </w:pPr>
    </w:p>
    <w:p w:rsidR="00C600D0" w:rsidRDefault="00C600D0" w:rsidP="00C600D0">
      <w:pPr>
        <w:rPr>
          <w:noProof/>
        </w:rPr>
      </w:pPr>
      <w:r>
        <w:rPr>
          <w:noProof/>
        </w:rPr>
        <w:t>EC</w:t>
      </w:r>
      <w:r>
        <w:rPr>
          <w:noProof/>
        </w:rPr>
        <w:tab/>
      </w:r>
      <w:r>
        <w:rPr>
          <w:noProof/>
        </w:rPr>
        <w:tab/>
        <w:t>European Commission</w:t>
      </w:r>
    </w:p>
    <w:p w:rsidR="00C600D0" w:rsidRDefault="00C600D0" w:rsidP="00C600D0">
      <w:pPr>
        <w:rPr>
          <w:noProof/>
        </w:rPr>
      </w:pPr>
      <w:r>
        <w:rPr>
          <w:noProof/>
        </w:rPr>
        <w:t>EU</w:t>
      </w:r>
      <w:r>
        <w:rPr>
          <w:noProof/>
        </w:rPr>
        <w:tab/>
      </w:r>
      <w:r>
        <w:rPr>
          <w:noProof/>
        </w:rPr>
        <w:tab/>
        <w:t>European Union</w:t>
      </w:r>
    </w:p>
    <w:p w:rsidR="00C600D0" w:rsidRDefault="00C600D0" w:rsidP="00C600D0">
      <w:pPr>
        <w:rPr>
          <w:noProof/>
        </w:rPr>
      </w:pPr>
      <w:r>
        <w:rPr>
          <w:noProof/>
        </w:rPr>
        <w:t>FP7</w:t>
      </w:r>
      <w:r>
        <w:rPr>
          <w:noProof/>
        </w:rPr>
        <w:tab/>
      </w:r>
      <w:r>
        <w:rPr>
          <w:noProof/>
        </w:rPr>
        <w:tab/>
        <w:t>Seventh Research Framework Programme</w:t>
      </w:r>
    </w:p>
    <w:p w:rsidR="00C600D0" w:rsidRDefault="00C600D0" w:rsidP="00C600D0">
      <w:pPr>
        <w:rPr>
          <w:noProof/>
        </w:rPr>
      </w:pPr>
      <w:r>
        <w:rPr>
          <w:noProof/>
        </w:rPr>
        <w:t>IPR</w:t>
      </w:r>
      <w:r>
        <w:rPr>
          <w:noProof/>
        </w:rPr>
        <w:tab/>
      </w:r>
      <w:r>
        <w:rPr>
          <w:noProof/>
        </w:rPr>
        <w:tab/>
        <w:t>Intellectual Property Rights</w:t>
      </w:r>
    </w:p>
    <w:p w:rsidR="00C600D0" w:rsidRDefault="00C600D0" w:rsidP="00C600D0">
      <w:pPr>
        <w:rPr>
          <w:noProof/>
        </w:rPr>
      </w:pPr>
      <w:r>
        <w:rPr>
          <w:noProof/>
        </w:rPr>
        <w:t>LOI</w:t>
      </w:r>
      <w:r>
        <w:rPr>
          <w:noProof/>
        </w:rPr>
        <w:tab/>
      </w:r>
      <w:r>
        <w:rPr>
          <w:noProof/>
        </w:rPr>
        <w:tab/>
        <w:t>Letter of Intent</w:t>
      </w:r>
    </w:p>
    <w:p w:rsidR="00C600D0" w:rsidRDefault="00C600D0" w:rsidP="00C600D0">
      <w:pPr>
        <w:rPr>
          <w:noProof/>
        </w:rPr>
      </w:pPr>
      <w:r>
        <w:rPr>
          <w:noProof/>
        </w:rPr>
        <w:t>MCST</w:t>
      </w:r>
      <w:r>
        <w:rPr>
          <w:noProof/>
        </w:rPr>
        <w:tab/>
      </w:r>
      <w:r>
        <w:rPr>
          <w:noProof/>
        </w:rPr>
        <w:tab/>
        <w:t>Malta Council for Science and Technology</w:t>
      </w:r>
    </w:p>
    <w:p w:rsidR="00C600D0" w:rsidRDefault="00C600D0" w:rsidP="00C600D0">
      <w:pPr>
        <w:rPr>
          <w:noProof/>
        </w:rPr>
      </w:pPr>
      <w:r>
        <w:rPr>
          <w:noProof/>
        </w:rPr>
        <w:t>ME</w:t>
      </w:r>
      <w:r>
        <w:rPr>
          <w:noProof/>
        </w:rPr>
        <w:tab/>
      </w:r>
      <w:r>
        <w:rPr>
          <w:noProof/>
        </w:rPr>
        <w:tab/>
        <w:t>Malta Enterprise</w:t>
      </w:r>
    </w:p>
    <w:p w:rsidR="00C600D0" w:rsidRDefault="00C600D0" w:rsidP="00C600D0">
      <w:pPr>
        <w:rPr>
          <w:noProof/>
        </w:rPr>
      </w:pPr>
      <w:r>
        <w:rPr>
          <w:noProof/>
        </w:rPr>
        <w:t xml:space="preserve">R&amp;D </w:t>
      </w:r>
      <w:r>
        <w:rPr>
          <w:noProof/>
        </w:rPr>
        <w:tab/>
      </w:r>
      <w:r>
        <w:rPr>
          <w:noProof/>
        </w:rPr>
        <w:tab/>
        <w:t>Research and Development</w:t>
      </w:r>
    </w:p>
    <w:p w:rsidR="00C600D0" w:rsidRDefault="00C600D0" w:rsidP="00C600D0">
      <w:pPr>
        <w:rPr>
          <w:noProof/>
        </w:rPr>
      </w:pPr>
      <w:r>
        <w:rPr>
          <w:noProof/>
        </w:rPr>
        <w:t>RM</w:t>
      </w:r>
      <w:r>
        <w:rPr>
          <w:noProof/>
        </w:rPr>
        <w:tab/>
      </w:r>
      <w:r>
        <w:rPr>
          <w:noProof/>
        </w:rPr>
        <w:tab/>
        <w:t>Relationship Management</w:t>
      </w:r>
    </w:p>
    <w:p w:rsidR="00C600D0" w:rsidRDefault="00C600D0" w:rsidP="00C600D0">
      <w:pPr>
        <w:rPr>
          <w:noProof/>
        </w:rPr>
      </w:pPr>
      <w:r>
        <w:rPr>
          <w:noProof/>
        </w:rPr>
        <w:t>SME</w:t>
      </w:r>
      <w:r>
        <w:rPr>
          <w:noProof/>
        </w:rPr>
        <w:tab/>
      </w:r>
      <w:r>
        <w:rPr>
          <w:noProof/>
        </w:rPr>
        <w:tab/>
        <w:t>Micro, Small and Medium-Sized Enterprises</w:t>
      </w:r>
    </w:p>
    <w:p w:rsidR="00C600D0" w:rsidRPr="00C600D0" w:rsidRDefault="00C600D0" w:rsidP="00C600D0">
      <w:pPr>
        <w:rPr>
          <w:noProof/>
        </w:rPr>
      </w:pPr>
      <w:r>
        <w:rPr>
          <w:noProof/>
        </w:rPr>
        <w:br w:type="page"/>
      </w:r>
    </w:p>
    <w:p w:rsidR="0005294F" w:rsidRPr="009F09FF" w:rsidRDefault="00C941CA" w:rsidP="009F09FF">
      <w:pPr>
        <w:pStyle w:val="Heading1"/>
        <w:pBdr>
          <w:bottom w:val="none" w:sz="0" w:space="0" w:color="auto"/>
        </w:pBdr>
        <w:rPr>
          <w:rFonts w:ascii="DINPro-Medium" w:hAnsi="DINPro-Medium"/>
          <w:b w:val="0"/>
        </w:rPr>
      </w:pPr>
      <w:r>
        <w:lastRenderedPageBreak/>
        <w:fldChar w:fldCharType="end"/>
      </w:r>
      <w:bookmarkStart w:id="3" w:name="_Toc172007335"/>
      <w:r w:rsidR="0005294F" w:rsidRPr="009F09FF">
        <w:rPr>
          <w:rFonts w:ascii="DINPro-Medium" w:hAnsi="DINPro-Medium"/>
          <w:b w:val="0"/>
        </w:rPr>
        <w:t>1.</w:t>
      </w:r>
      <w:r w:rsidR="00826114" w:rsidRPr="009F09FF">
        <w:rPr>
          <w:rFonts w:ascii="DINPro-Medium" w:hAnsi="DINPro-Medium"/>
          <w:b w:val="0"/>
        </w:rPr>
        <w:tab/>
      </w:r>
      <w:r w:rsidR="0005294F" w:rsidRPr="009F09FF">
        <w:rPr>
          <w:rFonts w:ascii="DINPro-Medium" w:hAnsi="DINPro-Medium"/>
          <w:b w:val="0"/>
        </w:rPr>
        <w:t>Introduction</w:t>
      </w:r>
      <w:bookmarkEnd w:id="2"/>
      <w:bookmarkEnd w:id="3"/>
    </w:p>
    <w:p w:rsidR="0005294F" w:rsidRPr="009F09FF" w:rsidRDefault="0005294F" w:rsidP="00512D3F">
      <w:pPr>
        <w:pStyle w:val="Heading2"/>
        <w:rPr>
          <w:rFonts w:ascii="DINPro-Medium" w:hAnsi="DINPro-Medium"/>
          <w:b w:val="0"/>
          <w:i w:val="0"/>
        </w:rPr>
      </w:pPr>
      <w:r w:rsidRPr="009F09FF">
        <w:rPr>
          <w:rFonts w:ascii="DINPro-Medium" w:hAnsi="DINPro-Medium"/>
          <w:b w:val="0"/>
          <w:i w:val="0"/>
        </w:rPr>
        <w:t>1.1</w:t>
      </w:r>
      <w:r w:rsidRPr="009F09FF">
        <w:rPr>
          <w:rFonts w:ascii="DINPro-Medium" w:hAnsi="DINPro-Medium"/>
          <w:b w:val="0"/>
          <w:i w:val="0"/>
        </w:rPr>
        <w:tab/>
        <w:t>Scope and Background</w:t>
      </w:r>
    </w:p>
    <w:p w:rsidR="00512D3F" w:rsidRPr="00AA0A53" w:rsidRDefault="00512D3F" w:rsidP="0016383B">
      <w:r w:rsidRPr="00AA0A53">
        <w:t>Micro, small and medium-sized enterprises</w:t>
      </w:r>
      <w:r w:rsidR="00B137F7">
        <w:t xml:space="preserve"> (SMEs)</w:t>
      </w:r>
      <w:r w:rsidRPr="00AA0A53">
        <w:t xml:space="preserve"> are socially and economically important to the E</w:t>
      </w:r>
      <w:r w:rsidR="00B137F7">
        <w:t xml:space="preserve">uropean </w:t>
      </w:r>
      <w:r w:rsidRPr="00AA0A53">
        <w:t>U</w:t>
      </w:r>
      <w:r w:rsidR="00B137F7">
        <w:t xml:space="preserve">nion (EU) </w:t>
      </w:r>
      <w:r w:rsidRPr="00AA0A53">
        <w:t xml:space="preserve"> as they represent 99% of all enterprises and provide around 65 million jobs. SMEs also contribute to entrepreneurship and innovation. However, they face particular difficulties which the EU and national legislation try to redress by granting various advantages to SME</w:t>
      </w:r>
      <w:r w:rsidR="008C1BA9">
        <w:t>’</w:t>
      </w:r>
      <w:r w:rsidRPr="00AA0A53">
        <w:t xml:space="preserve">s. </w:t>
      </w:r>
    </w:p>
    <w:p w:rsidR="00512D3F" w:rsidRPr="00AA0A53" w:rsidRDefault="00512D3F" w:rsidP="00052347">
      <w:pPr>
        <w:rPr>
          <w:rFonts w:cs="Arial"/>
          <w:color w:val="000000"/>
          <w:lang w:val="en-US"/>
        </w:rPr>
      </w:pPr>
      <w:r w:rsidRPr="00AA0A53">
        <w:t xml:space="preserve">The EU provides support to SMEs through a number of </w:t>
      </w:r>
      <w:r w:rsidR="00052347">
        <w:t>programmes</w:t>
      </w:r>
      <w:r w:rsidRPr="00AA0A53">
        <w:t xml:space="preserve">. </w:t>
      </w:r>
      <w:r w:rsidR="00B137F7">
        <w:t xml:space="preserve"> </w:t>
      </w:r>
      <w:r w:rsidRPr="00AA0A53">
        <w:rPr>
          <w:rFonts w:cs="Arial"/>
          <w:color w:val="000000"/>
          <w:lang w:val="en-US"/>
        </w:rPr>
        <w:t>The thematic funding opportunities provided by the EU</w:t>
      </w:r>
      <w:r w:rsidR="003043A3">
        <w:rPr>
          <w:rFonts w:cs="Arial"/>
          <w:color w:val="000000"/>
          <w:lang w:val="en-US"/>
        </w:rPr>
        <w:t>,</w:t>
      </w:r>
      <w:r w:rsidRPr="00AA0A53">
        <w:rPr>
          <w:rFonts w:cs="Arial"/>
          <w:color w:val="000000"/>
          <w:lang w:val="en-US"/>
        </w:rPr>
        <w:t xml:space="preserve"> target specific objectives such as research and innovation. </w:t>
      </w:r>
      <w:r w:rsidR="00B137F7">
        <w:rPr>
          <w:rFonts w:cs="Arial"/>
          <w:color w:val="000000"/>
          <w:lang w:val="en-US"/>
        </w:rPr>
        <w:t xml:space="preserve"> </w:t>
      </w:r>
      <w:r w:rsidRPr="00AA0A53">
        <w:rPr>
          <w:rFonts w:cs="Arial"/>
          <w:color w:val="000000"/>
          <w:lang w:val="en-US"/>
        </w:rPr>
        <w:t>SME</w:t>
      </w:r>
      <w:r w:rsidR="008C1BA9">
        <w:rPr>
          <w:rFonts w:cs="Arial"/>
          <w:color w:val="000000"/>
          <w:lang w:val="en-US"/>
        </w:rPr>
        <w:t>’</w:t>
      </w:r>
      <w:r w:rsidRPr="00AA0A53">
        <w:rPr>
          <w:rFonts w:cs="Arial"/>
          <w:color w:val="000000"/>
          <w:lang w:val="en-US"/>
        </w:rPr>
        <w:t>s or other organi</w:t>
      </w:r>
      <w:r w:rsidR="003043A3">
        <w:rPr>
          <w:rFonts w:cs="Arial"/>
          <w:color w:val="000000"/>
          <w:lang w:val="en-US"/>
        </w:rPr>
        <w:t>s</w:t>
      </w:r>
      <w:r w:rsidRPr="00AA0A53">
        <w:rPr>
          <w:rFonts w:cs="Arial"/>
          <w:color w:val="000000"/>
          <w:lang w:val="en-US"/>
        </w:rPr>
        <w:t xml:space="preserve">ations can usually apply directly for the programmes, generally on condition that they present sustainable, value-added and trans-national projects. </w:t>
      </w:r>
    </w:p>
    <w:p w:rsidR="00AA0A53" w:rsidRDefault="00AA0A53" w:rsidP="00052347">
      <w:r w:rsidRPr="00AA0A53">
        <w:t xml:space="preserve">The objective of this scheme is to support </w:t>
      </w:r>
      <w:r w:rsidR="003043A3">
        <w:t>SME</w:t>
      </w:r>
      <w:r w:rsidR="008C1BA9">
        <w:t>’</w:t>
      </w:r>
      <w:r w:rsidR="003043A3">
        <w:t>s</w:t>
      </w:r>
      <w:r w:rsidR="003043A3" w:rsidRPr="00AA0A53">
        <w:t xml:space="preserve"> </w:t>
      </w:r>
      <w:r w:rsidR="00B41795" w:rsidRPr="00AA0A53">
        <w:t>that</w:t>
      </w:r>
      <w:r w:rsidRPr="00AA0A53">
        <w:t xml:space="preserve"> are </w:t>
      </w:r>
      <w:r w:rsidR="00052347">
        <w:t>prepared to participate in</w:t>
      </w:r>
      <w:r w:rsidRPr="00AA0A53">
        <w:t xml:space="preserve"> EU fund</w:t>
      </w:r>
      <w:r w:rsidR="00052347">
        <w:t>ed</w:t>
      </w:r>
      <w:r w:rsidRPr="00AA0A53">
        <w:t xml:space="preserve"> programmes issued by the EU Commission</w:t>
      </w:r>
      <w:r>
        <w:t xml:space="preserve">.  </w:t>
      </w:r>
    </w:p>
    <w:p w:rsidR="00512D3F" w:rsidRDefault="00512D3F" w:rsidP="0016383B">
      <w:r>
        <w:t xml:space="preserve">The </w:t>
      </w:r>
      <w:r w:rsidR="00AE47BA">
        <w:t>objectives of the scheme are</w:t>
      </w:r>
      <w:r>
        <w:t xml:space="preserve"> to:</w:t>
      </w:r>
    </w:p>
    <w:p w:rsidR="00512D3F" w:rsidRDefault="008F3116" w:rsidP="0016383B">
      <w:pPr>
        <w:numPr>
          <w:ilvl w:val="0"/>
          <w:numId w:val="8"/>
        </w:numPr>
      </w:pPr>
      <w:r>
        <w:t xml:space="preserve">Increase the participation of </w:t>
      </w:r>
      <w:r w:rsidR="00512D3F">
        <w:t>e</w:t>
      </w:r>
      <w:r w:rsidR="00AC2582">
        <w:t xml:space="preserve">nterprises </w:t>
      </w:r>
      <w:r w:rsidR="003043A3">
        <w:t xml:space="preserve">in </w:t>
      </w:r>
      <w:r w:rsidR="00FE5A79">
        <w:t>EU</w:t>
      </w:r>
      <w:r w:rsidR="003043A3">
        <w:t xml:space="preserve"> funded projects</w:t>
      </w:r>
      <w:r w:rsidR="00AC2582">
        <w:t>;</w:t>
      </w:r>
    </w:p>
    <w:p w:rsidR="00512D3F" w:rsidRDefault="00512D3F" w:rsidP="0016383B">
      <w:pPr>
        <w:numPr>
          <w:ilvl w:val="0"/>
          <w:numId w:val="8"/>
        </w:numPr>
      </w:pPr>
      <w:r>
        <w:t>Increase the R&amp;D and inno</w:t>
      </w:r>
      <w:r w:rsidR="008F3116">
        <w:t xml:space="preserve">vation linkages between </w:t>
      </w:r>
      <w:r w:rsidR="004609BE">
        <w:t>enterprises</w:t>
      </w:r>
      <w:r w:rsidR="008C1BA9">
        <w:t>;</w:t>
      </w:r>
    </w:p>
    <w:p w:rsidR="00512D3F" w:rsidRDefault="00512D3F" w:rsidP="0016383B">
      <w:pPr>
        <w:numPr>
          <w:ilvl w:val="0"/>
          <w:numId w:val="8"/>
        </w:numPr>
      </w:pPr>
      <w:r>
        <w:t>Encourage firms to collaborate with other research performers within the EU and Third Country Partners</w:t>
      </w:r>
      <w:r w:rsidR="00354AFD">
        <w:t>.</w:t>
      </w:r>
      <w:r>
        <w:t xml:space="preserve">   </w:t>
      </w:r>
    </w:p>
    <w:p w:rsidR="00AA0A53" w:rsidRPr="009F09FF" w:rsidRDefault="00AA0A53" w:rsidP="009F09FF">
      <w:pPr>
        <w:pStyle w:val="Heading2"/>
        <w:spacing w:before="480"/>
        <w:rPr>
          <w:rFonts w:ascii="DINPro-Medium" w:hAnsi="DINPro-Medium"/>
          <w:b w:val="0"/>
          <w:i w:val="0"/>
        </w:rPr>
      </w:pPr>
      <w:r w:rsidRPr="009F09FF">
        <w:rPr>
          <w:rFonts w:ascii="DINPro-Medium" w:hAnsi="DINPro-Medium"/>
          <w:b w:val="0"/>
          <w:i w:val="0"/>
        </w:rPr>
        <w:t>1.</w:t>
      </w:r>
      <w:r w:rsidR="0016383B" w:rsidRPr="009F09FF">
        <w:rPr>
          <w:rFonts w:ascii="DINPro-Medium" w:hAnsi="DINPro-Medium"/>
          <w:b w:val="0"/>
          <w:i w:val="0"/>
        </w:rPr>
        <w:t>2</w:t>
      </w:r>
      <w:r w:rsidRPr="009F09FF">
        <w:rPr>
          <w:rFonts w:ascii="DINPro-Medium" w:hAnsi="DINPro-Medium"/>
          <w:b w:val="0"/>
          <w:i w:val="0"/>
        </w:rPr>
        <w:t xml:space="preserve"> </w:t>
      </w:r>
      <w:r w:rsidR="00556C43" w:rsidRPr="009F09FF">
        <w:rPr>
          <w:rFonts w:ascii="DINPro-Medium" w:hAnsi="DINPro-Medium"/>
          <w:b w:val="0"/>
          <w:i w:val="0"/>
        </w:rPr>
        <w:tab/>
      </w:r>
      <w:r w:rsidRPr="009F09FF">
        <w:rPr>
          <w:rFonts w:ascii="DINPro-Medium" w:hAnsi="DINPro-Medium"/>
          <w:b w:val="0"/>
          <w:i w:val="0"/>
        </w:rPr>
        <w:t>Duration of the scheme.</w:t>
      </w:r>
    </w:p>
    <w:p w:rsidR="004609BE" w:rsidRPr="004609BE" w:rsidRDefault="008573A9" w:rsidP="00052347">
      <w:pPr>
        <w:rPr>
          <w:szCs w:val="18"/>
        </w:rPr>
      </w:pPr>
      <w:r>
        <w:rPr>
          <w:szCs w:val="18"/>
        </w:rPr>
        <w:t xml:space="preserve">This </w:t>
      </w:r>
      <w:r w:rsidR="00052347">
        <w:rPr>
          <w:szCs w:val="18"/>
        </w:rPr>
        <w:t xml:space="preserve">scheme will run until </w:t>
      </w:r>
      <w:r w:rsidR="007E6331">
        <w:rPr>
          <w:szCs w:val="18"/>
        </w:rPr>
        <w:t>31</w:t>
      </w:r>
      <w:r w:rsidR="007E6331" w:rsidRPr="007E6331">
        <w:rPr>
          <w:szCs w:val="18"/>
          <w:vertAlign w:val="superscript"/>
        </w:rPr>
        <w:t>st</w:t>
      </w:r>
      <w:r w:rsidR="007E6331">
        <w:rPr>
          <w:szCs w:val="18"/>
        </w:rPr>
        <w:t xml:space="preserve"> </w:t>
      </w:r>
      <w:r w:rsidR="008C1BA9">
        <w:rPr>
          <w:color w:val="FF0000"/>
          <w:szCs w:val="18"/>
        </w:rPr>
        <w:t>August</w:t>
      </w:r>
      <w:r w:rsidR="007E6331">
        <w:rPr>
          <w:szCs w:val="18"/>
        </w:rPr>
        <w:t xml:space="preserve"> </w:t>
      </w:r>
      <w:r w:rsidR="00052347">
        <w:rPr>
          <w:szCs w:val="18"/>
        </w:rPr>
        <w:t>2013</w:t>
      </w:r>
      <w:r>
        <w:rPr>
          <w:szCs w:val="18"/>
        </w:rPr>
        <w:t>.</w:t>
      </w:r>
    </w:p>
    <w:p w:rsidR="00AA0A53" w:rsidRPr="009F09FF" w:rsidRDefault="00AA0A53" w:rsidP="009F09FF">
      <w:pPr>
        <w:pStyle w:val="Heading2"/>
        <w:spacing w:before="480"/>
        <w:rPr>
          <w:rFonts w:ascii="DINPro-Medium" w:hAnsi="DINPro-Medium"/>
          <w:b w:val="0"/>
          <w:i w:val="0"/>
        </w:rPr>
      </w:pPr>
      <w:r w:rsidRPr="009F09FF">
        <w:rPr>
          <w:rFonts w:ascii="DINPro-Medium" w:hAnsi="DINPro-Medium"/>
          <w:b w:val="0"/>
          <w:i w:val="0"/>
        </w:rPr>
        <w:t>1.</w:t>
      </w:r>
      <w:r w:rsidR="0016383B" w:rsidRPr="009F09FF">
        <w:rPr>
          <w:rFonts w:ascii="DINPro-Medium" w:hAnsi="DINPro-Medium"/>
          <w:b w:val="0"/>
          <w:i w:val="0"/>
        </w:rPr>
        <w:t>3</w:t>
      </w:r>
      <w:r w:rsidRPr="009F09FF">
        <w:rPr>
          <w:rFonts w:ascii="DINPro-Medium" w:hAnsi="DINPro-Medium"/>
          <w:b w:val="0"/>
          <w:i w:val="0"/>
        </w:rPr>
        <w:t xml:space="preserve"> </w:t>
      </w:r>
      <w:r w:rsidR="00556C43" w:rsidRPr="009F09FF">
        <w:rPr>
          <w:rFonts w:ascii="DINPro-Medium" w:hAnsi="DINPro-Medium"/>
          <w:b w:val="0"/>
          <w:i w:val="0"/>
        </w:rPr>
        <w:tab/>
      </w:r>
      <w:r w:rsidRPr="009F09FF">
        <w:rPr>
          <w:rFonts w:ascii="DINPro-Medium" w:hAnsi="DINPro-Medium"/>
          <w:b w:val="0"/>
          <w:i w:val="0"/>
        </w:rPr>
        <w:t>Legal Basis</w:t>
      </w:r>
    </w:p>
    <w:p w:rsidR="00AB595C" w:rsidRPr="003D1347" w:rsidRDefault="00AB595C" w:rsidP="00AB595C">
      <w:pPr>
        <w:autoSpaceDE w:val="0"/>
        <w:autoSpaceDN w:val="0"/>
        <w:adjustRightInd w:val="0"/>
        <w:rPr>
          <w:szCs w:val="20"/>
        </w:rPr>
      </w:pPr>
      <w:r w:rsidRPr="003D1347">
        <w:rPr>
          <w:szCs w:val="20"/>
        </w:rPr>
        <w:t xml:space="preserve">These Guidelines are issued pursuant to </w:t>
      </w:r>
      <w:r>
        <w:rPr>
          <w:szCs w:val="20"/>
        </w:rPr>
        <w:t xml:space="preserve">the vires granted to Malta Enterprise under </w:t>
      </w:r>
      <w:r w:rsidRPr="003D1347">
        <w:rPr>
          <w:szCs w:val="20"/>
        </w:rPr>
        <w:t>Article 8(3)(a) of the Malta Enterprise Act.</w:t>
      </w:r>
    </w:p>
    <w:p w:rsidR="002A06A8" w:rsidRPr="005274FC" w:rsidRDefault="002A06A8" w:rsidP="002A06A8">
      <w:pPr>
        <w:autoSpaceDE w:val="0"/>
        <w:autoSpaceDN w:val="0"/>
        <w:adjustRightInd w:val="0"/>
        <w:rPr>
          <w:rFonts w:cs="Arial"/>
          <w:szCs w:val="20"/>
        </w:rPr>
      </w:pPr>
      <w:r>
        <w:rPr>
          <w:bCs/>
          <w:iCs/>
          <w:szCs w:val="20"/>
        </w:rPr>
        <w:t>The Legal Notice entitled ‘</w:t>
      </w:r>
      <w:r w:rsidRPr="003D1347">
        <w:rPr>
          <w:bCs/>
          <w:iCs/>
          <w:szCs w:val="20"/>
        </w:rPr>
        <w:t>Assistance to Small and Medium-Sized Undertakings</w:t>
      </w:r>
      <w:r>
        <w:rPr>
          <w:bCs/>
          <w:iCs/>
          <w:szCs w:val="20"/>
        </w:rPr>
        <w:t xml:space="preserve"> Regulations’ </w:t>
      </w:r>
      <w:r w:rsidRPr="003D1347">
        <w:rPr>
          <w:bCs/>
          <w:iCs/>
          <w:szCs w:val="20"/>
        </w:rPr>
        <w:t>provides the parameters of the aid awarded under this scheme.</w:t>
      </w:r>
    </w:p>
    <w:p w:rsidR="0016383B" w:rsidRPr="009F09FF" w:rsidRDefault="0016383B" w:rsidP="009F09FF">
      <w:pPr>
        <w:pStyle w:val="Heading2"/>
        <w:spacing w:before="480"/>
        <w:rPr>
          <w:rFonts w:ascii="DINPro-Medium" w:hAnsi="DINPro-Medium"/>
          <w:b w:val="0"/>
          <w:i w:val="0"/>
        </w:rPr>
      </w:pPr>
      <w:r w:rsidRPr="009F09FF">
        <w:rPr>
          <w:rFonts w:ascii="DINPro-Medium" w:hAnsi="DINPro-Medium"/>
          <w:b w:val="0"/>
          <w:i w:val="0"/>
        </w:rPr>
        <w:t>1.4</w:t>
      </w:r>
      <w:r w:rsidRPr="009F09FF">
        <w:rPr>
          <w:rFonts w:ascii="DINPro-Medium" w:hAnsi="DINPro-Medium"/>
          <w:b w:val="0"/>
          <w:i w:val="0"/>
        </w:rPr>
        <w:tab/>
        <w:t xml:space="preserve">Designated Authority </w:t>
      </w:r>
    </w:p>
    <w:p w:rsidR="0016383B" w:rsidRDefault="0016383B" w:rsidP="0016383B">
      <w:r>
        <w:t xml:space="preserve">This incentive is administered by </w:t>
      </w:r>
      <w:r w:rsidRPr="0075587B">
        <w:t>Malta Enterprise</w:t>
      </w:r>
      <w:r>
        <w:t>.</w:t>
      </w:r>
    </w:p>
    <w:p w:rsidR="0016383B" w:rsidRDefault="0016383B" w:rsidP="00AA0A53">
      <w:pPr>
        <w:pStyle w:val="Bullets"/>
        <w:numPr>
          <w:ilvl w:val="0"/>
          <w:numId w:val="0"/>
        </w:numPr>
        <w:tabs>
          <w:tab w:val="left" w:pos="720"/>
        </w:tabs>
        <w:ind w:left="720"/>
        <w:rPr>
          <w:color w:val="FF0000"/>
        </w:rPr>
      </w:pPr>
    </w:p>
    <w:p w:rsidR="00C15B7E" w:rsidRDefault="00C15B7E" w:rsidP="00AA0A53">
      <w:pPr>
        <w:pStyle w:val="Bullets"/>
        <w:numPr>
          <w:ilvl w:val="0"/>
          <w:numId w:val="0"/>
        </w:numPr>
        <w:tabs>
          <w:tab w:val="left" w:pos="720"/>
        </w:tabs>
        <w:ind w:left="720"/>
        <w:rPr>
          <w:color w:val="FF0000"/>
        </w:rPr>
      </w:pPr>
    </w:p>
    <w:p w:rsidR="00323B5B" w:rsidRPr="009F09FF" w:rsidRDefault="00323B5B" w:rsidP="009F09FF">
      <w:pPr>
        <w:pStyle w:val="Heading1"/>
        <w:pBdr>
          <w:bottom w:val="none" w:sz="0" w:space="0" w:color="auto"/>
        </w:pBdr>
        <w:rPr>
          <w:rFonts w:ascii="DINPro-Medium" w:hAnsi="DINPro-Medium"/>
          <w:b w:val="0"/>
        </w:rPr>
      </w:pPr>
      <w:bookmarkStart w:id="4" w:name="_Toc160854044"/>
      <w:bookmarkStart w:id="5" w:name="_Toc172007336"/>
      <w:r w:rsidRPr="009F09FF">
        <w:rPr>
          <w:rFonts w:ascii="DINPro-Medium" w:hAnsi="DINPro-Medium"/>
          <w:b w:val="0"/>
        </w:rPr>
        <w:t>2.</w:t>
      </w:r>
      <w:r w:rsidRPr="009F09FF">
        <w:rPr>
          <w:rFonts w:ascii="DINPro-Medium" w:hAnsi="DINPro-Medium"/>
          <w:b w:val="0"/>
        </w:rPr>
        <w:tab/>
        <w:t>Eligibility</w:t>
      </w:r>
      <w:bookmarkEnd w:id="4"/>
      <w:bookmarkEnd w:id="5"/>
    </w:p>
    <w:p w:rsidR="00CD44D5" w:rsidRPr="000A78F1" w:rsidRDefault="008C1BA9" w:rsidP="00CD44D5">
      <w:r>
        <w:rPr>
          <w:color w:val="FF0000"/>
        </w:rPr>
        <w:t>SME’s</w:t>
      </w:r>
      <w:r w:rsidR="00CD44D5">
        <w:t xml:space="preserve"> engaged in the following </w:t>
      </w:r>
      <w:r w:rsidR="00CD44D5" w:rsidRPr="00AB5153">
        <w:t>activities as defined in the</w:t>
      </w:r>
      <w:r w:rsidR="00CD44D5" w:rsidRPr="00AB5153">
        <w:rPr>
          <w:bCs/>
          <w:iCs/>
        </w:rPr>
        <w:t xml:space="preserve"> Legal Notice on Assistance to Small and Medium-Sized Undertakings</w:t>
      </w:r>
      <w:r w:rsidR="00CD44D5" w:rsidRPr="00AB5153">
        <w:t xml:space="preserve"> will be eligible for</w:t>
      </w:r>
      <w:r w:rsidR="00CD44D5">
        <w:t xml:space="preserve"> this incentive.</w:t>
      </w:r>
    </w:p>
    <w:p w:rsidR="00CD44D5" w:rsidRPr="00C2329E" w:rsidRDefault="00CD44D5" w:rsidP="00CD44D5">
      <w:pPr>
        <w:numPr>
          <w:ilvl w:val="0"/>
          <w:numId w:val="24"/>
        </w:numPr>
      </w:pPr>
      <w:r>
        <w:t>Manufacturing;</w:t>
      </w:r>
    </w:p>
    <w:p w:rsidR="00CD44D5" w:rsidRPr="00C2329E" w:rsidRDefault="00CD44D5" w:rsidP="00CD44D5">
      <w:pPr>
        <w:numPr>
          <w:ilvl w:val="0"/>
          <w:numId w:val="24"/>
        </w:numPr>
      </w:pPr>
      <w:r>
        <w:t>Maintenance, Repair and Overhaul (M.R.O.) of: equipment, engines, plant and machinery, pleasure crafts and yachts, heavy equipment, aircraft;</w:t>
      </w:r>
    </w:p>
    <w:p w:rsidR="00CD44D5" w:rsidRPr="00C2329E" w:rsidRDefault="00CD44D5" w:rsidP="00CD44D5">
      <w:pPr>
        <w:numPr>
          <w:ilvl w:val="0"/>
          <w:numId w:val="24"/>
        </w:numPr>
      </w:pPr>
      <w:r>
        <w:t xml:space="preserve">Rendering of industrial services directly related to (i) and (ii) above;  </w:t>
      </w:r>
    </w:p>
    <w:p w:rsidR="00CD44D5" w:rsidRDefault="00CD44D5" w:rsidP="00CD44D5">
      <w:pPr>
        <w:numPr>
          <w:ilvl w:val="0"/>
          <w:numId w:val="24"/>
        </w:numPr>
      </w:pPr>
      <w:r>
        <w:t>ICT development activities, software development, and ICT enabled services but excluding enterprises engaged in gaming and telecommunications;</w:t>
      </w:r>
    </w:p>
    <w:p w:rsidR="00CD44D5" w:rsidRPr="00C2329E" w:rsidRDefault="00CD44D5" w:rsidP="00CD44D5">
      <w:pPr>
        <w:numPr>
          <w:ilvl w:val="0"/>
          <w:numId w:val="24"/>
        </w:numPr>
      </w:pPr>
      <w:r>
        <w:t>R&amp;D and Innovation;</w:t>
      </w:r>
    </w:p>
    <w:p w:rsidR="00CD44D5" w:rsidRPr="00C2329E" w:rsidRDefault="00CD44D5" w:rsidP="00CD44D5">
      <w:pPr>
        <w:numPr>
          <w:ilvl w:val="0"/>
          <w:numId w:val="24"/>
        </w:numPr>
      </w:pPr>
      <w:r>
        <w:lastRenderedPageBreak/>
        <w:t>Waste Treatment, Environmental solutions and eco-innovations.</w:t>
      </w:r>
    </w:p>
    <w:p w:rsidR="00CD44D5" w:rsidRPr="00C2329E" w:rsidRDefault="00CD44D5" w:rsidP="00CD44D5">
      <w:pPr>
        <w:numPr>
          <w:ilvl w:val="0"/>
          <w:numId w:val="24"/>
        </w:numPr>
      </w:pPr>
      <w:r>
        <w:t>Biotechnology</w:t>
      </w:r>
    </w:p>
    <w:p w:rsidR="00CD44D5" w:rsidRDefault="00CD44D5" w:rsidP="00CD44D5">
      <w:pPr>
        <w:numPr>
          <w:ilvl w:val="0"/>
          <w:numId w:val="24"/>
        </w:numPr>
      </w:pPr>
      <w:r>
        <w:t xml:space="preserve">Other start-up enterprises proposing innovative products, services and process development, which are typically more advanced than those prevailing in their respective industry, in terms of technology, know-how and skills, shall be considered for aid under this incentive. </w:t>
      </w:r>
    </w:p>
    <w:p w:rsidR="008C1BA9" w:rsidRDefault="008C1BA9" w:rsidP="008C1BA9">
      <w:pPr>
        <w:ind w:left="1031"/>
      </w:pPr>
    </w:p>
    <w:p w:rsidR="008C1BA9" w:rsidRPr="008C1BA9" w:rsidRDefault="008C1BA9" w:rsidP="00CD44D5">
      <w:r w:rsidRPr="008C1BA9">
        <w:t>Note</w:t>
      </w:r>
      <w:r w:rsidR="00CD44D5" w:rsidRPr="008C1BA9">
        <w:t xml:space="preserve">: </w:t>
      </w:r>
    </w:p>
    <w:p w:rsidR="008C1BA9" w:rsidRDefault="008C1BA9" w:rsidP="00CD44D5"/>
    <w:p w:rsidR="00CD44D5" w:rsidRDefault="007E147B" w:rsidP="008C1BA9">
      <w:pPr>
        <w:numPr>
          <w:ilvl w:val="0"/>
          <w:numId w:val="26"/>
        </w:numPr>
      </w:pPr>
      <w:r>
        <w:t xml:space="preserve">Interpretation of eligible activities is in line with the criteria set </w:t>
      </w:r>
      <w:r w:rsidR="00CD44D5">
        <w:t>in t</w:t>
      </w:r>
      <w:r>
        <w:t>he Investment Aid Guidelines</w:t>
      </w:r>
      <w:r w:rsidR="008C1BA9">
        <w:t>.</w:t>
      </w:r>
    </w:p>
    <w:p w:rsidR="008C1BA9" w:rsidRDefault="008C1BA9" w:rsidP="008C1BA9">
      <w:pPr>
        <w:numPr>
          <w:ilvl w:val="0"/>
          <w:numId w:val="26"/>
        </w:numPr>
      </w:pPr>
      <w:r>
        <w:t>Undertakings controlled or owned by government are not eligible for this incentive.</w:t>
      </w:r>
    </w:p>
    <w:p w:rsidR="00157DB5" w:rsidRPr="002C1A20" w:rsidRDefault="00157DB5" w:rsidP="002C1A20"/>
    <w:p w:rsidR="009D3894" w:rsidRPr="009F09FF" w:rsidRDefault="00323B5B" w:rsidP="009F09FF">
      <w:pPr>
        <w:pStyle w:val="Heading1"/>
        <w:pBdr>
          <w:bottom w:val="none" w:sz="0" w:space="0" w:color="auto"/>
        </w:pBdr>
        <w:spacing w:before="480"/>
        <w:rPr>
          <w:rFonts w:ascii="DINPro-Medium" w:hAnsi="DINPro-Medium"/>
          <w:b w:val="0"/>
        </w:rPr>
      </w:pPr>
      <w:bookmarkStart w:id="6" w:name="_Toc160854045"/>
      <w:bookmarkStart w:id="7" w:name="_Toc172007337"/>
      <w:r w:rsidRPr="009F09FF">
        <w:rPr>
          <w:rFonts w:ascii="DINPro-Medium" w:hAnsi="DINPro-Medium"/>
          <w:b w:val="0"/>
        </w:rPr>
        <w:t>3</w:t>
      </w:r>
      <w:r w:rsidR="009D3894" w:rsidRPr="009F09FF">
        <w:rPr>
          <w:rFonts w:ascii="DINPro-Medium" w:hAnsi="DINPro-Medium"/>
          <w:b w:val="0"/>
        </w:rPr>
        <w:t>.</w:t>
      </w:r>
      <w:r w:rsidR="009D3894" w:rsidRPr="009F09FF">
        <w:rPr>
          <w:rFonts w:ascii="DINPro-Medium" w:hAnsi="DINPro-Medium"/>
          <w:b w:val="0"/>
        </w:rPr>
        <w:tab/>
        <w:t>Incentive Description</w:t>
      </w:r>
      <w:bookmarkEnd w:id="6"/>
      <w:bookmarkEnd w:id="7"/>
      <w:r w:rsidR="009D3894" w:rsidRPr="009F09FF">
        <w:rPr>
          <w:rFonts w:ascii="DINPro-Medium" w:hAnsi="DINPro-Medium"/>
          <w:b w:val="0"/>
        </w:rPr>
        <w:t xml:space="preserve"> </w:t>
      </w:r>
    </w:p>
    <w:p w:rsidR="00FC758C" w:rsidRDefault="00FC758C" w:rsidP="004E3820">
      <w:pPr>
        <w:spacing w:before="0" w:after="0"/>
      </w:pPr>
      <w:r>
        <w:t xml:space="preserve">Under this scheme, cash grants will be awarded to </w:t>
      </w:r>
      <w:r w:rsidR="004609BE">
        <w:t>Maltese</w:t>
      </w:r>
      <w:r>
        <w:t xml:space="preserve"> enterprises to assist in the preparation and submission of proposals for </w:t>
      </w:r>
      <w:r w:rsidR="00FE0DD5">
        <w:t xml:space="preserve">participation in </w:t>
      </w:r>
      <w:r>
        <w:t xml:space="preserve">the European Union’s </w:t>
      </w:r>
      <w:r w:rsidR="00052347">
        <w:t>programmes, particularly the F</w:t>
      </w:r>
      <w:r w:rsidR="001779F1">
        <w:t xml:space="preserve">ramework Programme 7 (FP7) and the </w:t>
      </w:r>
      <w:r w:rsidR="00052347">
        <w:t>C</w:t>
      </w:r>
      <w:r w:rsidR="001779F1">
        <w:t>ompetitiveness and Innovation Programme (CIP)</w:t>
      </w:r>
      <w:r w:rsidR="00FE0DD5">
        <w:t>.</w:t>
      </w:r>
    </w:p>
    <w:p w:rsidR="007E6331" w:rsidRDefault="00A85072" w:rsidP="007E6331">
      <w:r>
        <w:t>Under this incentive u</w:t>
      </w:r>
      <w:r w:rsidR="007E6331">
        <w:t xml:space="preserve">ndertakings can benefit </w:t>
      </w:r>
      <w:r w:rsidR="001C5F55">
        <w:t>from a maximum of Euro10,000</w:t>
      </w:r>
      <w:r>
        <w:t xml:space="preserve"> in one calendar year</w:t>
      </w:r>
    </w:p>
    <w:p w:rsidR="007E6331" w:rsidRDefault="007E6331" w:rsidP="004E3820">
      <w:pPr>
        <w:spacing w:before="0" w:after="0"/>
      </w:pPr>
    </w:p>
    <w:p w:rsidR="009D3894" w:rsidRPr="009F09FF" w:rsidRDefault="00323B5B" w:rsidP="009D3894">
      <w:pPr>
        <w:pStyle w:val="Heading2"/>
        <w:rPr>
          <w:rFonts w:ascii="DINPro-Medium" w:hAnsi="DINPro-Medium"/>
          <w:b w:val="0"/>
          <w:i w:val="0"/>
        </w:rPr>
      </w:pPr>
      <w:r w:rsidRPr="009F09FF">
        <w:rPr>
          <w:rFonts w:ascii="DINPro-Medium" w:hAnsi="DINPro-Medium"/>
          <w:b w:val="0"/>
          <w:i w:val="0"/>
        </w:rPr>
        <w:t>3</w:t>
      </w:r>
      <w:r w:rsidR="009D3894" w:rsidRPr="009F09FF">
        <w:rPr>
          <w:rFonts w:ascii="DINPro-Medium" w:hAnsi="DINPro-Medium"/>
          <w:b w:val="0"/>
          <w:i w:val="0"/>
        </w:rPr>
        <w:t xml:space="preserve">.1 </w:t>
      </w:r>
      <w:r w:rsidR="009D3894" w:rsidRPr="009F09FF">
        <w:rPr>
          <w:rFonts w:ascii="DINPro-Medium" w:hAnsi="DINPro-Medium"/>
          <w:b w:val="0"/>
          <w:i w:val="0"/>
        </w:rPr>
        <w:tab/>
      </w:r>
      <w:r w:rsidRPr="009F09FF">
        <w:rPr>
          <w:rFonts w:ascii="DINPro-Medium" w:hAnsi="DINPro-Medium"/>
          <w:b w:val="0"/>
          <w:i w:val="0"/>
        </w:rPr>
        <w:t xml:space="preserve">Details of Incentive </w:t>
      </w:r>
    </w:p>
    <w:p w:rsidR="002E5A66" w:rsidRDefault="002E5A66" w:rsidP="004E3820">
      <w:r>
        <w:t xml:space="preserve">This incentive is designed to provide support for enterprises for the preparation and submission of proposals </w:t>
      </w:r>
      <w:r w:rsidR="00705BF0">
        <w:t xml:space="preserve">particularly </w:t>
      </w:r>
      <w:r>
        <w:t>for FP7</w:t>
      </w:r>
      <w:r w:rsidR="004E3820">
        <w:t xml:space="preserve">, </w:t>
      </w:r>
      <w:r w:rsidR="001779F1">
        <w:t xml:space="preserve">and </w:t>
      </w:r>
      <w:r w:rsidR="00052347">
        <w:t xml:space="preserve">CIP </w:t>
      </w:r>
      <w:r>
        <w:t>programmes. Activities to be assisted under this measure include:</w:t>
      </w:r>
    </w:p>
    <w:p w:rsidR="002E5A66" w:rsidRPr="00C600D0" w:rsidRDefault="002E5A66" w:rsidP="00A86711">
      <w:pPr>
        <w:numPr>
          <w:ilvl w:val="0"/>
          <w:numId w:val="19"/>
        </w:numPr>
      </w:pPr>
      <w:r w:rsidRPr="00C600D0">
        <w:t xml:space="preserve">Feasibility check (desk studies, literature survey, risk analysis, etc. to determine if the project is </w:t>
      </w:r>
      <w:r w:rsidR="00A86711">
        <w:t>achievable</w:t>
      </w:r>
      <w:r w:rsidRPr="00C600D0">
        <w:t>);</w:t>
      </w:r>
    </w:p>
    <w:p w:rsidR="002E5A66" w:rsidRPr="00C600D0" w:rsidRDefault="002E5A66" w:rsidP="00A86711">
      <w:pPr>
        <w:numPr>
          <w:ilvl w:val="0"/>
          <w:numId w:val="19"/>
        </w:numPr>
      </w:pPr>
      <w:r w:rsidRPr="00C600D0">
        <w:t>Research and Development work for the compilation of the EU Project.</w:t>
      </w:r>
    </w:p>
    <w:p w:rsidR="002E5A66" w:rsidRPr="00C600D0" w:rsidRDefault="002E5A66" w:rsidP="00A86711">
      <w:pPr>
        <w:numPr>
          <w:ilvl w:val="0"/>
          <w:numId w:val="19"/>
        </w:numPr>
      </w:pPr>
      <w:r w:rsidRPr="00C600D0">
        <w:t>Market analysis to assess possible exploitation;</w:t>
      </w:r>
    </w:p>
    <w:p w:rsidR="002E5A66" w:rsidRPr="00C600D0" w:rsidRDefault="002E5A66" w:rsidP="00A86711">
      <w:pPr>
        <w:numPr>
          <w:ilvl w:val="0"/>
          <w:numId w:val="19"/>
        </w:numPr>
      </w:pPr>
      <w:r w:rsidRPr="00C600D0">
        <w:t>Novelty verification (including a world-wide patent search);</w:t>
      </w:r>
    </w:p>
    <w:p w:rsidR="002E5A66" w:rsidRPr="00C600D0" w:rsidRDefault="002E5A66" w:rsidP="00A86711">
      <w:pPr>
        <w:numPr>
          <w:ilvl w:val="0"/>
          <w:numId w:val="19"/>
        </w:numPr>
        <w:rPr>
          <w:iCs/>
        </w:rPr>
      </w:pPr>
      <w:r w:rsidRPr="00C600D0">
        <w:t xml:space="preserve">Search for  partners </w:t>
      </w:r>
      <w:r w:rsidR="00503EFA" w:rsidRPr="00C600D0">
        <w:t xml:space="preserve">together with </w:t>
      </w:r>
      <w:r w:rsidRPr="00C600D0">
        <w:t>consortium-building activities</w:t>
      </w:r>
      <w:r w:rsidR="007A050C" w:rsidRPr="00C600D0">
        <w:t xml:space="preserve"> and call info days</w:t>
      </w:r>
      <w:r w:rsidRPr="00C600D0">
        <w:t xml:space="preserve">; </w:t>
      </w:r>
    </w:p>
    <w:p w:rsidR="002E5A66" w:rsidRPr="00C600D0" w:rsidRDefault="00654EF0" w:rsidP="00A86711">
      <w:pPr>
        <w:numPr>
          <w:ilvl w:val="0"/>
          <w:numId w:val="19"/>
        </w:numPr>
        <w:rPr>
          <w:iCs/>
        </w:rPr>
      </w:pPr>
      <w:r w:rsidRPr="00C600D0">
        <w:t xml:space="preserve">Preparatory meetings </w:t>
      </w:r>
      <w:r w:rsidR="002E5A66" w:rsidRPr="00C600D0">
        <w:t xml:space="preserve"> with potential partners for the EU Project; </w:t>
      </w:r>
    </w:p>
    <w:p w:rsidR="002E5A66" w:rsidRPr="00C600D0" w:rsidRDefault="002E5A66" w:rsidP="00A86711">
      <w:pPr>
        <w:numPr>
          <w:ilvl w:val="0"/>
          <w:numId w:val="19"/>
        </w:numPr>
      </w:pPr>
      <w:r w:rsidRPr="00C600D0">
        <w:rPr>
          <w:iCs/>
        </w:rPr>
        <w:t xml:space="preserve">Detailed </w:t>
      </w:r>
      <w:r w:rsidR="00654EF0" w:rsidRPr="00C600D0">
        <w:rPr>
          <w:iCs/>
        </w:rPr>
        <w:t xml:space="preserve">EU </w:t>
      </w:r>
      <w:r w:rsidRPr="00C600D0">
        <w:rPr>
          <w:iCs/>
        </w:rPr>
        <w:t xml:space="preserve">project planning </w:t>
      </w:r>
    </w:p>
    <w:p w:rsidR="002E5A66" w:rsidRPr="00C600D0" w:rsidRDefault="00654EF0" w:rsidP="00A86711">
      <w:pPr>
        <w:numPr>
          <w:ilvl w:val="0"/>
          <w:numId w:val="19"/>
        </w:numPr>
      </w:pPr>
      <w:r w:rsidRPr="00C600D0">
        <w:rPr>
          <w:iCs/>
        </w:rPr>
        <w:t xml:space="preserve">EU </w:t>
      </w:r>
      <w:r w:rsidR="002E5A66" w:rsidRPr="00C600D0">
        <w:rPr>
          <w:iCs/>
        </w:rPr>
        <w:t xml:space="preserve">Proposal Writing </w:t>
      </w:r>
    </w:p>
    <w:p w:rsidR="00C076A5" w:rsidRDefault="003B001F" w:rsidP="00C076A5">
      <w:r>
        <w:t>Each project funded under this scheme should not exceed 12 months</w:t>
      </w:r>
      <w:r w:rsidR="00174C94">
        <w:t xml:space="preserve"> to complete</w:t>
      </w:r>
      <w:r>
        <w:t>.</w:t>
      </w:r>
      <w:r w:rsidR="00C076A5">
        <w:t xml:space="preserve"> </w:t>
      </w:r>
    </w:p>
    <w:p w:rsidR="00C15B7E" w:rsidRDefault="00C15B7E" w:rsidP="00C076A5"/>
    <w:p w:rsidR="009D3894" w:rsidRPr="009F09FF" w:rsidRDefault="00274F37" w:rsidP="002E5A66">
      <w:pPr>
        <w:pStyle w:val="Heading2"/>
        <w:rPr>
          <w:rFonts w:ascii="DINPro-Medium" w:hAnsi="DINPro-Medium"/>
          <w:b w:val="0"/>
          <w:i w:val="0"/>
        </w:rPr>
      </w:pPr>
      <w:r w:rsidRPr="009F09FF">
        <w:rPr>
          <w:rFonts w:ascii="DINPro-Medium" w:hAnsi="DINPro-Medium"/>
          <w:b w:val="0"/>
          <w:i w:val="0"/>
        </w:rPr>
        <w:t xml:space="preserve">3.2 </w:t>
      </w:r>
      <w:r w:rsidRPr="009F09FF">
        <w:rPr>
          <w:rFonts w:ascii="DINPro-Medium" w:hAnsi="DINPro-Medium"/>
          <w:b w:val="0"/>
          <w:i w:val="0"/>
        </w:rPr>
        <w:tab/>
        <w:t>Actions and eligible costs under this incentive and the applicable aid intensity.</w:t>
      </w:r>
    </w:p>
    <w:p w:rsidR="00C15B7E" w:rsidRDefault="00C15B7E" w:rsidP="000E790A"/>
    <w:p w:rsidR="000E790A" w:rsidRDefault="00915854" w:rsidP="000E790A">
      <w:r>
        <w:t>Approved projects may benefit from a cash grant of up to Euro10,000</w:t>
      </w:r>
      <w:r w:rsidR="00A85072">
        <w:t xml:space="preserve"> </w:t>
      </w:r>
      <w:r>
        <w:t xml:space="preserve"> which can be claimed against expenses listed below.  </w:t>
      </w:r>
    </w:p>
    <w:p w:rsidR="00896B13" w:rsidRPr="009F09FF" w:rsidRDefault="00896B13" w:rsidP="00896B13">
      <w:pPr>
        <w:pStyle w:val="Heading3"/>
        <w:ind w:left="1440"/>
        <w:rPr>
          <w:rFonts w:ascii="DINPro-Medium" w:hAnsi="DINPro-Medium"/>
          <w:b w:val="0"/>
        </w:rPr>
      </w:pPr>
      <w:r w:rsidRPr="009F09FF">
        <w:rPr>
          <w:rFonts w:ascii="DINPro-Medium" w:hAnsi="DINPro-Medium"/>
          <w:b w:val="0"/>
        </w:rPr>
        <w:t xml:space="preserve">(A) </w:t>
      </w:r>
      <w:r w:rsidRPr="009F09FF">
        <w:rPr>
          <w:rFonts w:ascii="DINPro-Medium" w:hAnsi="DINPro-Medium"/>
          <w:b w:val="0"/>
        </w:rPr>
        <w:tab/>
        <w:t>Personnel Costs (up to 6</w:t>
      </w:r>
      <w:r w:rsidR="008C5A43" w:rsidRPr="009F09FF">
        <w:rPr>
          <w:rFonts w:ascii="DINPro-Medium" w:hAnsi="DINPro-Medium"/>
          <w:b w:val="0"/>
        </w:rPr>
        <w:t>0</w:t>
      </w:r>
      <w:r w:rsidRPr="009F09FF">
        <w:rPr>
          <w:rFonts w:ascii="DINPro-Medium" w:hAnsi="DINPro-Medium"/>
          <w:b w:val="0"/>
        </w:rPr>
        <w:t>% of costs)</w:t>
      </w:r>
    </w:p>
    <w:p w:rsidR="00A85072" w:rsidRDefault="00896B13" w:rsidP="00D95183">
      <w:pPr>
        <w:ind w:left="720"/>
        <w:rPr>
          <w:iCs/>
        </w:rPr>
      </w:pPr>
      <w:r>
        <w:rPr>
          <w:iCs/>
        </w:rPr>
        <w:t>T</w:t>
      </w:r>
      <w:r w:rsidR="002E5A66">
        <w:rPr>
          <w:iCs/>
        </w:rPr>
        <w:t xml:space="preserve">he costs of the scientific and administrative personnel directly employed by the </w:t>
      </w:r>
      <w:r w:rsidR="00A51602">
        <w:rPr>
          <w:iCs/>
        </w:rPr>
        <w:t xml:space="preserve">SME </w:t>
      </w:r>
      <w:r w:rsidR="002E5A66">
        <w:rPr>
          <w:iCs/>
        </w:rPr>
        <w:t xml:space="preserve">and assigned wholly or partially </w:t>
      </w:r>
      <w:r w:rsidR="00052347">
        <w:rPr>
          <w:iCs/>
        </w:rPr>
        <w:t>in</w:t>
      </w:r>
      <w:r w:rsidR="002E5A66">
        <w:rPr>
          <w:iCs/>
        </w:rPr>
        <w:t xml:space="preserve"> developing the </w:t>
      </w:r>
      <w:r w:rsidR="00052347">
        <w:rPr>
          <w:iCs/>
        </w:rPr>
        <w:t>re</w:t>
      </w:r>
      <w:r w:rsidR="001779F1">
        <w:rPr>
          <w:iCs/>
        </w:rPr>
        <w:t>q</w:t>
      </w:r>
      <w:r w:rsidR="00052347">
        <w:rPr>
          <w:iCs/>
        </w:rPr>
        <w:t xml:space="preserve">uired </w:t>
      </w:r>
      <w:r w:rsidR="002E5A66">
        <w:rPr>
          <w:iCs/>
        </w:rPr>
        <w:t>proposal</w:t>
      </w:r>
      <w:r w:rsidR="00A85072">
        <w:rPr>
          <w:iCs/>
        </w:rPr>
        <w:t xml:space="preserve"> as long as:</w:t>
      </w:r>
    </w:p>
    <w:p w:rsidR="00A85072" w:rsidRDefault="002E5A66" w:rsidP="00A85072">
      <w:pPr>
        <w:numPr>
          <w:ilvl w:val="0"/>
          <w:numId w:val="22"/>
        </w:numPr>
        <w:rPr>
          <w:iCs/>
        </w:rPr>
      </w:pPr>
      <w:r>
        <w:rPr>
          <w:iCs/>
        </w:rPr>
        <w:lastRenderedPageBreak/>
        <w:t xml:space="preserve">At least one key person working on the project proposal </w:t>
      </w:r>
      <w:r w:rsidR="00A85072">
        <w:rPr>
          <w:iCs/>
        </w:rPr>
        <w:t>has</w:t>
      </w:r>
      <w:r>
        <w:rPr>
          <w:iCs/>
        </w:rPr>
        <w:t xml:space="preserve"> a first degree qualification or equivalent. </w:t>
      </w:r>
      <w:r w:rsidR="00A85072">
        <w:rPr>
          <w:iCs/>
        </w:rPr>
        <w:t xml:space="preserve"> </w:t>
      </w:r>
    </w:p>
    <w:p w:rsidR="00A85072" w:rsidRDefault="00A85072" w:rsidP="00A85072">
      <w:pPr>
        <w:numPr>
          <w:ilvl w:val="0"/>
          <w:numId w:val="22"/>
        </w:numPr>
        <w:rPr>
          <w:iCs/>
        </w:rPr>
      </w:pPr>
      <w:r>
        <w:rPr>
          <w:iCs/>
        </w:rPr>
        <w:t>The number of hours claimed must not exceed 150</w:t>
      </w:r>
      <w:r w:rsidR="001207A6">
        <w:rPr>
          <w:iCs/>
        </w:rPr>
        <w:t xml:space="preserve"> </w:t>
      </w:r>
      <w:r>
        <w:rPr>
          <w:iCs/>
        </w:rPr>
        <w:t>hours unless the applicant will be the lead partner in the proposed FP7 or CIP project.</w:t>
      </w:r>
    </w:p>
    <w:p w:rsidR="00896B13" w:rsidRPr="009F09FF" w:rsidRDefault="00896B13" w:rsidP="00896B13">
      <w:pPr>
        <w:pStyle w:val="Heading3"/>
        <w:ind w:left="1440"/>
        <w:rPr>
          <w:rFonts w:ascii="DINPro-Medium" w:hAnsi="DINPro-Medium"/>
          <w:b w:val="0"/>
        </w:rPr>
      </w:pPr>
      <w:r w:rsidRPr="009F09FF">
        <w:rPr>
          <w:rFonts w:ascii="DINPro-Medium" w:hAnsi="DINPro-Medium"/>
          <w:b w:val="0"/>
        </w:rPr>
        <w:t xml:space="preserve">(B) </w:t>
      </w:r>
      <w:r w:rsidRPr="009F09FF">
        <w:rPr>
          <w:rFonts w:ascii="DINPro-Medium" w:hAnsi="DINPro-Medium"/>
          <w:b w:val="0"/>
        </w:rPr>
        <w:tab/>
        <w:t xml:space="preserve">Procurement of technical </w:t>
      </w:r>
      <w:r w:rsidR="00D67B66" w:rsidRPr="009F09FF">
        <w:rPr>
          <w:rFonts w:ascii="DINPro-Medium" w:hAnsi="DINPro-Medium"/>
          <w:b w:val="0"/>
        </w:rPr>
        <w:t xml:space="preserve">consultancy services </w:t>
      </w:r>
      <w:r w:rsidRPr="009F09FF">
        <w:rPr>
          <w:rFonts w:ascii="DINPro-Medium" w:hAnsi="DINPro-Medium"/>
          <w:b w:val="0"/>
        </w:rPr>
        <w:t xml:space="preserve">from external </w:t>
      </w:r>
      <w:r w:rsidR="00D67B66" w:rsidRPr="009F09FF">
        <w:rPr>
          <w:rFonts w:ascii="DINPro-Medium" w:hAnsi="DINPro-Medium"/>
          <w:b w:val="0"/>
        </w:rPr>
        <w:t>experts</w:t>
      </w:r>
      <w:r w:rsidRPr="009F09FF">
        <w:rPr>
          <w:rFonts w:ascii="DINPro-Medium" w:hAnsi="DINPro-Medium"/>
          <w:b w:val="0"/>
        </w:rPr>
        <w:t xml:space="preserve"> (up to 6</w:t>
      </w:r>
      <w:r w:rsidR="008C5A43" w:rsidRPr="009F09FF">
        <w:rPr>
          <w:rFonts w:ascii="DINPro-Medium" w:hAnsi="DINPro-Medium"/>
          <w:b w:val="0"/>
        </w:rPr>
        <w:t>0</w:t>
      </w:r>
      <w:r w:rsidRPr="009F09FF">
        <w:rPr>
          <w:rFonts w:ascii="DINPro-Medium" w:hAnsi="DINPro-Medium"/>
          <w:b w:val="0"/>
        </w:rPr>
        <w:t>% of costs)</w:t>
      </w:r>
    </w:p>
    <w:p w:rsidR="00896B13" w:rsidRPr="00C26E81" w:rsidRDefault="00D67B66" w:rsidP="00896B13">
      <w:pPr>
        <w:ind w:left="720"/>
      </w:pPr>
      <w:r>
        <w:t>Technical consultancy s</w:t>
      </w:r>
      <w:r w:rsidR="00896B13" w:rsidRPr="00C26E81">
        <w:t>ervices</w:t>
      </w:r>
      <w:r>
        <w:t xml:space="preserve"> that are acquired from</w:t>
      </w:r>
      <w:r w:rsidRPr="00C26E81">
        <w:t xml:space="preserve"> </w:t>
      </w:r>
      <w:r>
        <w:t xml:space="preserve">external consultants and that are directly related to the development of the project proposal.  </w:t>
      </w:r>
      <w:r w:rsidR="00896B13" w:rsidRPr="008C5A43">
        <w:rPr>
          <w:b/>
        </w:rPr>
        <w:t xml:space="preserve">Consultancy services should be pre-approved </w:t>
      </w:r>
      <w:r w:rsidR="008C5A43">
        <w:rPr>
          <w:b/>
        </w:rPr>
        <w:t>in writing</w:t>
      </w:r>
      <w:r w:rsidR="008C5A43" w:rsidRPr="008C5A43">
        <w:rPr>
          <w:b/>
        </w:rPr>
        <w:t xml:space="preserve"> </w:t>
      </w:r>
      <w:r w:rsidR="00896B13" w:rsidRPr="008C5A43">
        <w:rPr>
          <w:b/>
        </w:rPr>
        <w:t>by Malta Enterprise</w:t>
      </w:r>
      <w:r w:rsidR="00896B13">
        <w:t xml:space="preserve"> </w:t>
      </w:r>
      <w:r w:rsidR="008C5A43">
        <w:t xml:space="preserve">and the grant value may not exceed </w:t>
      </w:r>
      <w:r w:rsidR="001207A6">
        <w:rPr>
          <w:rFonts w:cs="Arial"/>
        </w:rPr>
        <w:t>€</w:t>
      </w:r>
      <w:r w:rsidR="001207A6">
        <w:t xml:space="preserve"> </w:t>
      </w:r>
      <w:r w:rsidR="008C5A43">
        <w:t>5,000</w:t>
      </w:r>
      <w:r w:rsidR="00896B13" w:rsidRPr="00C26E81">
        <w:t xml:space="preserve">. </w:t>
      </w:r>
    </w:p>
    <w:p w:rsidR="002F7225" w:rsidRPr="009F09FF" w:rsidRDefault="00915854" w:rsidP="00FC44A1">
      <w:pPr>
        <w:pStyle w:val="Heading2"/>
        <w:ind w:left="1440"/>
        <w:rPr>
          <w:rFonts w:ascii="DINPro-Medium" w:hAnsi="DINPro-Medium"/>
          <w:b w:val="0"/>
          <w:i w:val="0"/>
          <w:sz w:val="24"/>
          <w:szCs w:val="24"/>
        </w:rPr>
      </w:pPr>
      <w:r w:rsidRPr="009F09FF">
        <w:rPr>
          <w:rFonts w:ascii="DINPro-Medium" w:hAnsi="DINPro-Medium"/>
          <w:b w:val="0"/>
          <w:i w:val="0"/>
          <w:sz w:val="24"/>
          <w:szCs w:val="24"/>
        </w:rPr>
        <w:t>(</w:t>
      </w:r>
      <w:r w:rsidR="00FC44A1" w:rsidRPr="009F09FF">
        <w:rPr>
          <w:rFonts w:ascii="DINPro-Medium" w:hAnsi="DINPro-Medium"/>
          <w:b w:val="0"/>
          <w:i w:val="0"/>
          <w:sz w:val="24"/>
          <w:szCs w:val="24"/>
        </w:rPr>
        <w:t xml:space="preserve">C) </w:t>
      </w:r>
      <w:r w:rsidR="00FC44A1" w:rsidRPr="009F09FF">
        <w:rPr>
          <w:rFonts w:ascii="DINPro-Medium" w:hAnsi="DINPro-Medium"/>
          <w:b w:val="0"/>
          <w:i w:val="0"/>
          <w:sz w:val="24"/>
          <w:szCs w:val="24"/>
        </w:rPr>
        <w:tab/>
        <w:t xml:space="preserve">Travel </w:t>
      </w:r>
      <w:r w:rsidR="002F7225" w:rsidRPr="009F09FF">
        <w:rPr>
          <w:rFonts w:ascii="DINPro-Medium" w:hAnsi="DINPro-Medium"/>
          <w:b w:val="0"/>
          <w:i w:val="0"/>
          <w:sz w:val="24"/>
          <w:szCs w:val="24"/>
        </w:rPr>
        <w:t xml:space="preserve">and Per Diem </w:t>
      </w:r>
    </w:p>
    <w:p w:rsidR="00FC44A1" w:rsidRPr="002F7225" w:rsidRDefault="002F7225" w:rsidP="002F7225">
      <w:pPr>
        <w:pStyle w:val="Heading2"/>
        <w:ind w:left="1440" w:firstLine="0"/>
        <w:rPr>
          <w:i w:val="0"/>
          <w:sz w:val="18"/>
          <w:szCs w:val="18"/>
        </w:rPr>
      </w:pPr>
      <w:r w:rsidRPr="002F7225">
        <w:rPr>
          <w:i w:val="0"/>
          <w:sz w:val="18"/>
          <w:szCs w:val="18"/>
        </w:rPr>
        <w:t>(</w:t>
      </w:r>
      <w:r>
        <w:rPr>
          <w:i w:val="0"/>
          <w:sz w:val="18"/>
          <w:szCs w:val="18"/>
        </w:rPr>
        <w:t>i</w:t>
      </w:r>
      <w:r w:rsidRPr="002F7225">
        <w:rPr>
          <w:i w:val="0"/>
          <w:sz w:val="18"/>
          <w:szCs w:val="18"/>
        </w:rPr>
        <w:t xml:space="preserve">) Travel </w:t>
      </w:r>
      <w:r w:rsidR="00FC44A1" w:rsidRPr="002F7225">
        <w:rPr>
          <w:i w:val="0"/>
          <w:sz w:val="18"/>
          <w:szCs w:val="18"/>
        </w:rPr>
        <w:t xml:space="preserve">(up to 60% of Costs) </w:t>
      </w:r>
    </w:p>
    <w:p w:rsidR="007F1D3C" w:rsidRDefault="00FC44A1" w:rsidP="002F7225">
      <w:pPr>
        <w:spacing w:before="0" w:after="0"/>
        <w:ind w:left="1440"/>
      </w:pPr>
      <w:r>
        <w:t xml:space="preserve">A maximum of two trips </w:t>
      </w:r>
      <w:r w:rsidR="008C5A43">
        <w:t>for</w:t>
      </w:r>
      <w:r>
        <w:t xml:space="preserve"> meet</w:t>
      </w:r>
      <w:r w:rsidR="008C5A43">
        <w:t>ing</w:t>
      </w:r>
      <w:r>
        <w:t xml:space="preserve"> potential partners</w:t>
      </w:r>
      <w:r w:rsidR="008C5A43">
        <w:t xml:space="preserve"> or for participating in </w:t>
      </w:r>
      <w:r w:rsidR="007F1D3C">
        <w:t>information seminars</w:t>
      </w:r>
      <w:r>
        <w:t xml:space="preserve"> or </w:t>
      </w:r>
      <w:r w:rsidR="008C5A43">
        <w:t>related</w:t>
      </w:r>
      <w:r>
        <w:t xml:space="preserve"> events</w:t>
      </w:r>
      <w:r w:rsidR="008C5A43">
        <w:t xml:space="preserve"> will be supported.  The beneficiary should demonstrate that any </w:t>
      </w:r>
      <w:r w:rsidR="00915854">
        <w:t>t</w:t>
      </w:r>
      <w:r w:rsidR="008C5A43">
        <w:t>ravel will support the enterprise in the</w:t>
      </w:r>
      <w:r>
        <w:t xml:space="preserve"> pre</w:t>
      </w:r>
      <w:r w:rsidR="008C5A43">
        <w:t>paration of the project proposal</w:t>
      </w:r>
      <w:r>
        <w:t xml:space="preserve">.  </w:t>
      </w:r>
      <w:r w:rsidR="007F1D3C">
        <w:t xml:space="preserve">For each trip enterprises may claim the </w:t>
      </w:r>
      <w:r>
        <w:t xml:space="preserve">expenses of two persons that are directly related to the </w:t>
      </w:r>
      <w:r w:rsidR="007F1D3C">
        <w:t xml:space="preserve">development of the </w:t>
      </w:r>
      <w:r>
        <w:t>project proposal</w:t>
      </w:r>
      <w:r w:rsidR="007F1D3C">
        <w:t xml:space="preserve">. </w:t>
      </w:r>
    </w:p>
    <w:p w:rsidR="007F1D3C" w:rsidRDefault="007F1D3C" w:rsidP="002F7225">
      <w:pPr>
        <w:spacing w:before="0" w:after="0"/>
        <w:ind w:left="1440"/>
      </w:pPr>
    </w:p>
    <w:p w:rsidR="00D3164A" w:rsidRDefault="00D3164A" w:rsidP="002F7225">
      <w:pPr>
        <w:spacing w:before="0" w:after="0"/>
        <w:ind w:left="1440"/>
      </w:pPr>
      <w:r>
        <w:rPr>
          <w:b/>
        </w:rPr>
        <w:t>Note:</w:t>
      </w:r>
      <w:r>
        <w:rPr>
          <w:b/>
        </w:rPr>
        <w:tab/>
      </w:r>
    </w:p>
    <w:p w:rsidR="00D3164A" w:rsidRPr="00D3164A" w:rsidRDefault="00D3164A" w:rsidP="00D3164A">
      <w:pPr>
        <w:numPr>
          <w:ilvl w:val="0"/>
          <w:numId w:val="20"/>
        </w:numPr>
      </w:pPr>
      <w:r w:rsidRPr="00D3164A">
        <w:t>All travelling should be pre-approved in writing by Malta Enterprise.</w:t>
      </w:r>
    </w:p>
    <w:p w:rsidR="00D3164A" w:rsidRDefault="00D3164A" w:rsidP="00D3164A">
      <w:pPr>
        <w:numPr>
          <w:ilvl w:val="0"/>
          <w:numId w:val="20"/>
        </w:numPr>
      </w:pPr>
      <w:r>
        <w:t>Malta Enterprise will part finance air, rail and ferry travel (other means of travel inc</w:t>
      </w:r>
      <w:r w:rsidR="001207A6">
        <w:t xml:space="preserve">luding taxi services are not </w:t>
      </w:r>
      <w:r>
        <w:t>eligible);</w:t>
      </w:r>
    </w:p>
    <w:p w:rsidR="00D3164A" w:rsidRDefault="00D3164A" w:rsidP="00D3164A">
      <w:pPr>
        <w:numPr>
          <w:ilvl w:val="0"/>
          <w:numId w:val="20"/>
        </w:numPr>
      </w:pPr>
      <w:r>
        <w:t>All travel must be economy class or equivalent;</w:t>
      </w:r>
    </w:p>
    <w:p w:rsidR="00FC44A1" w:rsidRPr="002F7225" w:rsidRDefault="00FC44A1" w:rsidP="002F7225">
      <w:pPr>
        <w:pStyle w:val="Heading2"/>
        <w:ind w:left="2160"/>
        <w:rPr>
          <w:i w:val="0"/>
          <w:sz w:val="18"/>
          <w:szCs w:val="18"/>
        </w:rPr>
      </w:pPr>
      <w:r w:rsidRPr="002F7225">
        <w:rPr>
          <w:i w:val="0"/>
          <w:sz w:val="18"/>
          <w:szCs w:val="18"/>
        </w:rPr>
        <w:t>(</w:t>
      </w:r>
      <w:r w:rsidR="002F7225">
        <w:rPr>
          <w:i w:val="0"/>
          <w:sz w:val="18"/>
          <w:szCs w:val="18"/>
        </w:rPr>
        <w:t>ii</w:t>
      </w:r>
      <w:r w:rsidRPr="002F7225">
        <w:rPr>
          <w:i w:val="0"/>
          <w:sz w:val="18"/>
          <w:szCs w:val="18"/>
        </w:rPr>
        <w:t>) Per Diem</w:t>
      </w:r>
      <w:r w:rsidR="001207A6">
        <w:rPr>
          <w:i w:val="0"/>
          <w:sz w:val="18"/>
          <w:szCs w:val="18"/>
        </w:rPr>
        <w:t xml:space="preserve"> (covering up to 3 days)</w:t>
      </w:r>
    </w:p>
    <w:p w:rsidR="00D3164A" w:rsidRDefault="00FC44A1" w:rsidP="00D3164A">
      <w:pPr>
        <w:ind w:left="1440"/>
      </w:pPr>
      <w:r>
        <w:t>Beneficiaries shall be entitled to claim</w:t>
      </w:r>
      <w:r w:rsidR="00D3164A" w:rsidRPr="00D3164A">
        <w:t xml:space="preserve"> </w:t>
      </w:r>
      <w:r>
        <w:t>a per diem</w:t>
      </w:r>
      <w:r w:rsidR="00D3164A">
        <w:t xml:space="preserve"> </w:t>
      </w:r>
      <w:r w:rsidR="001207A6">
        <w:t xml:space="preserve">calculated at 60% of the official per diem rates listed in Annex 4 of these Guidelines.  </w:t>
      </w:r>
      <w:r w:rsidR="00D5739B">
        <w:t xml:space="preserve">A per diem may be granted for up to a maximum of </w:t>
      </w:r>
      <w:r w:rsidR="00D3164A">
        <w:t>3 days for each approved trip</w:t>
      </w:r>
      <w:r w:rsidR="00D71DD5">
        <w:t xml:space="preserve"> under (i) above.</w:t>
      </w:r>
    </w:p>
    <w:p w:rsidR="002F7225" w:rsidRPr="002F7225" w:rsidRDefault="002F7225" w:rsidP="002F7225">
      <w:pPr>
        <w:spacing w:before="0" w:after="0"/>
        <w:ind w:left="720" w:firstLine="720"/>
        <w:rPr>
          <w:b/>
        </w:rPr>
      </w:pPr>
      <w:r w:rsidRPr="002F7225">
        <w:rPr>
          <w:b/>
        </w:rPr>
        <w:t>(</w:t>
      </w:r>
      <w:r>
        <w:rPr>
          <w:b/>
        </w:rPr>
        <w:t>iii</w:t>
      </w:r>
      <w:r w:rsidRPr="002F7225">
        <w:rPr>
          <w:b/>
        </w:rPr>
        <w:t>) Capping</w:t>
      </w:r>
    </w:p>
    <w:p w:rsidR="002F7225" w:rsidRDefault="002F7225" w:rsidP="002F7225">
      <w:pPr>
        <w:spacing w:before="0" w:after="0"/>
        <w:ind w:left="1440"/>
      </w:pPr>
      <w:r>
        <w:t xml:space="preserve">The maximum total grant in relation to travel costs and per diem is capped at </w:t>
      </w:r>
      <w:r w:rsidR="00D5739B">
        <w:rPr>
          <w:rFonts w:cs="Arial"/>
        </w:rPr>
        <w:t>€</w:t>
      </w:r>
      <w:r>
        <w:t xml:space="preserve">2,000 </w:t>
      </w:r>
      <w:r w:rsidR="00D71DD5">
        <w:t xml:space="preserve"> </w:t>
      </w:r>
      <w:r>
        <w:t>per supported project.</w:t>
      </w:r>
    </w:p>
    <w:p w:rsidR="00705BF0" w:rsidRDefault="00705BF0" w:rsidP="00705BF0"/>
    <w:p w:rsidR="008246A9" w:rsidRDefault="008246A9" w:rsidP="00705BF0"/>
    <w:p w:rsidR="002F7225" w:rsidRDefault="002F7225" w:rsidP="009D734D"/>
    <w:p w:rsidR="00CF444D" w:rsidRPr="009F09FF" w:rsidRDefault="002C1A20" w:rsidP="009F09FF">
      <w:pPr>
        <w:pStyle w:val="Heading1"/>
        <w:pBdr>
          <w:bottom w:val="none" w:sz="0" w:space="0" w:color="auto"/>
        </w:pBdr>
        <w:rPr>
          <w:rFonts w:ascii="DINPro-Medium" w:hAnsi="DINPro-Medium"/>
          <w:b w:val="0"/>
        </w:rPr>
      </w:pPr>
      <w:bookmarkStart w:id="8" w:name="_Toc160854047"/>
      <w:bookmarkStart w:id="9" w:name="_Toc172007338"/>
      <w:r w:rsidRPr="009F09FF">
        <w:rPr>
          <w:rFonts w:ascii="DINPro-Medium" w:hAnsi="DINPro-Medium"/>
          <w:b w:val="0"/>
        </w:rPr>
        <w:t>4</w:t>
      </w:r>
      <w:r w:rsidR="003315B5" w:rsidRPr="009F09FF">
        <w:rPr>
          <w:rFonts w:ascii="DINPro-Medium" w:hAnsi="DINPro-Medium"/>
          <w:b w:val="0"/>
        </w:rPr>
        <w:t>.</w:t>
      </w:r>
      <w:r w:rsidR="003315B5" w:rsidRPr="009F09FF">
        <w:rPr>
          <w:rFonts w:ascii="DINPro-Medium" w:hAnsi="DINPro-Medium"/>
          <w:b w:val="0"/>
        </w:rPr>
        <w:tab/>
      </w:r>
      <w:r w:rsidR="00464324" w:rsidRPr="009F09FF">
        <w:rPr>
          <w:rFonts w:ascii="DINPro-Medium" w:hAnsi="DINPro-Medium"/>
          <w:b w:val="0"/>
        </w:rPr>
        <w:t xml:space="preserve">Evaluation and </w:t>
      </w:r>
      <w:r w:rsidR="00130B59" w:rsidRPr="009F09FF">
        <w:rPr>
          <w:rFonts w:ascii="DINPro-Medium" w:hAnsi="DINPro-Medium"/>
          <w:b w:val="0"/>
        </w:rPr>
        <w:t>Assignment of Aid</w:t>
      </w:r>
      <w:bookmarkEnd w:id="8"/>
      <w:bookmarkEnd w:id="9"/>
    </w:p>
    <w:p w:rsidR="002C1A20" w:rsidRDefault="002C1A20" w:rsidP="00052347">
      <w:r>
        <w:t>Aid under this incentive is subject to pre-approval by Malta Enterprise</w:t>
      </w:r>
      <w:r w:rsidR="00052347">
        <w:t xml:space="preserve"> and is awarded at the discretion of Malta Enterprise</w:t>
      </w:r>
      <w:r>
        <w:t xml:space="preserve">. </w:t>
      </w:r>
    </w:p>
    <w:p w:rsidR="00814E8E" w:rsidRDefault="002C1A20" w:rsidP="00D22691">
      <w:r w:rsidRPr="00C54630">
        <w:t>All complete applications</w:t>
      </w:r>
      <w:r>
        <w:t xml:space="preserve"> that </w:t>
      </w:r>
      <w:r w:rsidRPr="00C54630">
        <w:t xml:space="preserve">meet the terms and conditions of participation will </w:t>
      </w:r>
      <w:r>
        <w:t>be assessed</w:t>
      </w:r>
      <w:r w:rsidRPr="00C54630">
        <w:t xml:space="preserve"> by </w:t>
      </w:r>
      <w:r>
        <w:t>Malta Enterprise</w:t>
      </w:r>
      <w:r w:rsidRPr="008125B5">
        <w:rPr>
          <w:lang w:val="en-US"/>
        </w:rPr>
        <w:t xml:space="preserve">. </w:t>
      </w:r>
      <w:r>
        <w:rPr>
          <w:lang w:val="en-US"/>
        </w:rPr>
        <w:t xml:space="preserve">   </w:t>
      </w:r>
      <w:r w:rsidR="00D22691" w:rsidRPr="00C54630">
        <w:t>Approval is subject to a</w:t>
      </w:r>
      <w:r>
        <w:t xml:space="preserve">n evaluation </w:t>
      </w:r>
      <w:r w:rsidR="00D22691" w:rsidRPr="00C54630">
        <w:t xml:space="preserve">process </w:t>
      </w:r>
      <w:r>
        <w:t xml:space="preserve">which will focus on the following </w:t>
      </w:r>
      <w:r w:rsidR="00374134">
        <w:t>evaluation criteria</w:t>
      </w:r>
      <w:r w:rsidR="00525938">
        <w:t>:</w:t>
      </w:r>
      <w:r w:rsidR="00374134">
        <w:t xml:space="preserve"> </w:t>
      </w:r>
    </w:p>
    <w:p w:rsidR="008246A9" w:rsidRDefault="008246A9" w:rsidP="00D22691">
      <w:pPr>
        <w:rPr>
          <w:b/>
        </w:rPr>
      </w:pPr>
    </w:p>
    <w:p w:rsidR="002C1A20" w:rsidRPr="002C1A20" w:rsidRDefault="002C1A20" w:rsidP="00D22691">
      <w:pPr>
        <w:rPr>
          <w:b/>
        </w:rPr>
      </w:pPr>
      <w:r w:rsidRPr="002C1A20">
        <w:rPr>
          <w:b/>
        </w:rPr>
        <w:tab/>
        <w:t>I.</w:t>
      </w:r>
      <w:r w:rsidRPr="002C1A20">
        <w:rPr>
          <w:b/>
        </w:rPr>
        <w:tab/>
        <w:t>Quality</w:t>
      </w:r>
    </w:p>
    <w:p w:rsidR="00814E8E" w:rsidRPr="00884A0A" w:rsidRDefault="00814E8E" w:rsidP="00694743">
      <w:pPr>
        <w:numPr>
          <w:ilvl w:val="0"/>
          <w:numId w:val="5"/>
        </w:numPr>
        <w:ind w:left="1440"/>
        <w:rPr>
          <w:szCs w:val="18"/>
        </w:rPr>
      </w:pPr>
      <w:r w:rsidRPr="00884A0A">
        <w:rPr>
          <w:szCs w:val="18"/>
        </w:rPr>
        <w:t xml:space="preserve">Sound </w:t>
      </w:r>
      <w:r w:rsidR="00FB7166" w:rsidRPr="00884A0A">
        <w:rPr>
          <w:szCs w:val="18"/>
        </w:rPr>
        <w:t>concept</w:t>
      </w:r>
      <w:r w:rsidRPr="00884A0A">
        <w:rPr>
          <w:szCs w:val="18"/>
        </w:rPr>
        <w:t xml:space="preserve"> and quality of objectives in relation to the topics addressed by the call.</w:t>
      </w:r>
    </w:p>
    <w:p w:rsidR="00564548" w:rsidRPr="00884A0A" w:rsidRDefault="00564548" w:rsidP="00694743">
      <w:pPr>
        <w:numPr>
          <w:ilvl w:val="0"/>
          <w:numId w:val="5"/>
        </w:numPr>
        <w:ind w:left="1440"/>
        <w:rPr>
          <w:szCs w:val="18"/>
        </w:rPr>
      </w:pPr>
      <w:r w:rsidRPr="00884A0A">
        <w:rPr>
          <w:szCs w:val="18"/>
        </w:rPr>
        <w:t xml:space="preserve">Objectives are achievable </w:t>
      </w:r>
    </w:p>
    <w:p w:rsidR="00F07D86" w:rsidRPr="00884A0A" w:rsidRDefault="00F07D86" w:rsidP="00694743">
      <w:pPr>
        <w:numPr>
          <w:ilvl w:val="0"/>
          <w:numId w:val="5"/>
        </w:numPr>
        <w:ind w:left="1440"/>
        <w:rPr>
          <w:rFonts w:cs="Arial"/>
          <w:szCs w:val="18"/>
          <w:lang w:val="en-US"/>
        </w:rPr>
      </w:pPr>
      <w:r w:rsidRPr="00884A0A">
        <w:rPr>
          <w:rFonts w:cs="Arial"/>
          <w:szCs w:val="18"/>
          <w:lang w:val="en-US"/>
        </w:rPr>
        <w:t>Contribution to</w:t>
      </w:r>
      <w:r w:rsidRPr="00884A0A">
        <w:rPr>
          <w:szCs w:val="18"/>
        </w:rPr>
        <w:t xml:space="preserve"> </w:t>
      </w:r>
      <w:r w:rsidR="00A11731" w:rsidRPr="00884A0A">
        <w:rPr>
          <w:szCs w:val="18"/>
        </w:rPr>
        <w:t xml:space="preserve">innovation / </w:t>
      </w:r>
      <w:r w:rsidRPr="00884A0A">
        <w:rPr>
          <w:rFonts w:cs="Arial"/>
          <w:szCs w:val="18"/>
          <w:lang w:val="en-US"/>
        </w:rPr>
        <w:t>advancement of knowledge / technological progress</w:t>
      </w:r>
    </w:p>
    <w:p w:rsidR="00962B9C" w:rsidRDefault="00962B9C" w:rsidP="00694743">
      <w:pPr>
        <w:numPr>
          <w:ilvl w:val="0"/>
          <w:numId w:val="5"/>
        </w:numPr>
        <w:ind w:left="1440"/>
      </w:pPr>
      <w:r>
        <w:rPr>
          <w:rFonts w:cs="Arial"/>
          <w:szCs w:val="18"/>
          <w:lang w:val="en-US"/>
        </w:rPr>
        <w:t xml:space="preserve">The core business activities in relation to the topics addressed by the call. </w:t>
      </w:r>
    </w:p>
    <w:p w:rsidR="008246A9" w:rsidRDefault="008246A9" w:rsidP="002C1A20">
      <w:pPr>
        <w:rPr>
          <w:b/>
        </w:rPr>
      </w:pPr>
    </w:p>
    <w:p w:rsidR="002C1A20" w:rsidRPr="002C1A20" w:rsidRDefault="002C1A20" w:rsidP="002C1A20">
      <w:pPr>
        <w:rPr>
          <w:b/>
        </w:rPr>
      </w:pPr>
      <w:r w:rsidRPr="002C1A20">
        <w:rPr>
          <w:b/>
        </w:rPr>
        <w:lastRenderedPageBreak/>
        <w:tab/>
        <w:t>II.</w:t>
      </w:r>
      <w:r w:rsidRPr="002C1A20">
        <w:rPr>
          <w:b/>
        </w:rPr>
        <w:tab/>
        <w:t xml:space="preserve">Implementation </w:t>
      </w:r>
    </w:p>
    <w:p w:rsidR="00F07D86" w:rsidRDefault="00F07D86" w:rsidP="00694743">
      <w:pPr>
        <w:numPr>
          <w:ilvl w:val="0"/>
          <w:numId w:val="6"/>
        </w:numPr>
        <w:ind w:left="1440"/>
        <w:rPr>
          <w:szCs w:val="18"/>
        </w:rPr>
      </w:pPr>
      <w:r w:rsidRPr="00884A0A">
        <w:rPr>
          <w:szCs w:val="18"/>
        </w:rPr>
        <w:t>Quality and relevant experience of the personnel</w:t>
      </w:r>
    </w:p>
    <w:p w:rsidR="00585C26" w:rsidRPr="00884A0A" w:rsidRDefault="00585C26" w:rsidP="00694743">
      <w:pPr>
        <w:numPr>
          <w:ilvl w:val="0"/>
          <w:numId w:val="6"/>
        </w:numPr>
        <w:ind w:left="1440"/>
        <w:rPr>
          <w:szCs w:val="18"/>
        </w:rPr>
      </w:pPr>
      <w:r w:rsidRPr="00884A0A">
        <w:rPr>
          <w:szCs w:val="18"/>
        </w:rPr>
        <w:t xml:space="preserve">Quality of partners chosen </w:t>
      </w:r>
    </w:p>
    <w:p w:rsidR="00B8038F" w:rsidRDefault="00525938" w:rsidP="00694743">
      <w:pPr>
        <w:numPr>
          <w:ilvl w:val="0"/>
          <w:numId w:val="6"/>
        </w:numPr>
        <w:ind w:left="1440"/>
      </w:pPr>
      <w:r w:rsidRPr="00884A0A">
        <w:rPr>
          <w:rFonts w:cs="Arial"/>
          <w:szCs w:val="18"/>
          <w:lang w:val="en-US"/>
        </w:rPr>
        <w:t xml:space="preserve">Effectiveness of methodology </w:t>
      </w:r>
    </w:p>
    <w:p w:rsidR="002C1A20" w:rsidRPr="002C1A20" w:rsidRDefault="002C1A20" w:rsidP="002C1A20">
      <w:pPr>
        <w:rPr>
          <w:b/>
        </w:rPr>
      </w:pPr>
      <w:r w:rsidRPr="002C1A20">
        <w:rPr>
          <w:b/>
        </w:rPr>
        <w:tab/>
        <w:t>III.</w:t>
      </w:r>
      <w:r w:rsidRPr="002C1A20">
        <w:rPr>
          <w:b/>
        </w:rPr>
        <w:tab/>
        <w:t xml:space="preserve">Impact </w:t>
      </w:r>
    </w:p>
    <w:p w:rsidR="00585C26" w:rsidRDefault="00585C26" w:rsidP="00694743">
      <w:pPr>
        <w:numPr>
          <w:ilvl w:val="0"/>
          <w:numId w:val="7"/>
        </w:numPr>
        <w:ind w:left="1440"/>
        <w:rPr>
          <w:szCs w:val="18"/>
        </w:rPr>
      </w:pPr>
      <w:r w:rsidRPr="00884A0A">
        <w:rPr>
          <w:szCs w:val="18"/>
        </w:rPr>
        <w:t>Contribution at a national</w:t>
      </w:r>
      <w:r w:rsidR="005231BB" w:rsidRPr="00884A0A">
        <w:rPr>
          <w:szCs w:val="18"/>
        </w:rPr>
        <w:t xml:space="preserve">/European </w:t>
      </w:r>
      <w:r w:rsidR="00C40B2B">
        <w:rPr>
          <w:szCs w:val="18"/>
        </w:rPr>
        <w:t xml:space="preserve">level </w:t>
      </w:r>
      <w:r w:rsidRPr="00884A0A">
        <w:rPr>
          <w:szCs w:val="18"/>
        </w:rPr>
        <w:t>to the expected impacts listed in the work programme under the relevant call for proposals</w:t>
      </w:r>
    </w:p>
    <w:p w:rsidR="00857274" w:rsidRDefault="00857274" w:rsidP="00694743">
      <w:pPr>
        <w:numPr>
          <w:ilvl w:val="0"/>
          <w:numId w:val="7"/>
        </w:numPr>
        <w:ind w:left="1440"/>
        <w:rPr>
          <w:szCs w:val="18"/>
        </w:rPr>
      </w:pPr>
      <w:r>
        <w:rPr>
          <w:szCs w:val="18"/>
        </w:rPr>
        <w:t>The expected long term impact as a result of participating in the project</w:t>
      </w:r>
    </w:p>
    <w:p w:rsidR="008246A9" w:rsidRDefault="008246A9" w:rsidP="008246A9">
      <w:pPr>
        <w:rPr>
          <w:b/>
        </w:rPr>
      </w:pPr>
    </w:p>
    <w:p w:rsidR="008246A9" w:rsidRPr="002C1A20" w:rsidRDefault="008246A9" w:rsidP="008246A9">
      <w:pPr>
        <w:rPr>
          <w:b/>
        </w:rPr>
      </w:pPr>
      <w:r w:rsidRPr="002C1A20">
        <w:rPr>
          <w:b/>
        </w:rPr>
        <w:tab/>
      </w:r>
      <w:r>
        <w:rPr>
          <w:b/>
        </w:rPr>
        <w:t>IV</w:t>
      </w:r>
      <w:r w:rsidRPr="002C1A20">
        <w:rPr>
          <w:b/>
        </w:rPr>
        <w:t>.</w:t>
      </w:r>
      <w:r w:rsidRPr="002C1A20">
        <w:rPr>
          <w:b/>
        </w:rPr>
        <w:tab/>
      </w:r>
      <w:r>
        <w:rPr>
          <w:b/>
        </w:rPr>
        <w:t xml:space="preserve">Value of Money requested </w:t>
      </w:r>
      <w:r w:rsidRPr="002C1A20">
        <w:rPr>
          <w:b/>
        </w:rPr>
        <w:t xml:space="preserve"> </w:t>
      </w:r>
    </w:p>
    <w:p w:rsidR="008246A9" w:rsidRPr="00884A0A" w:rsidRDefault="008246A9" w:rsidP="008246A9">
      <w:pPr>
        <w:ind w:left="1080"/>
        <w:rPr>
          <w:szCs w:val="18"/>
        </w:rPr>
      </w:pPr>
    </w:p>
    <w:p w:rsidR="008246A9" w:rsidRDefault="008246A9" w:rsidP="008C3F9C">
      <w:pPr>
        <w:pStyle w:val="Heading2"/>
      </w:pPr>
    </w:p>
    <w:p w:rsidR="00B9028D" w:rsidRPr="009F09FF" w:rsidRDefault="002C1A20" w:rsidP="008C3F9C">
      <w:pPr>
        <w:pStyle w:val="Heading2"/>
        <w:rPr>
          <w:rFonts w:ascii="DINPro-Medium" w:hAnsi="DINPro-Medium"/>
          <w:b w:val="0"/>
          <w:i w:val="0"/>
        </w:rPr>
      </w:pPr>
      <w:r w:rsidRPr="009F09FF">
        <w:rPr>
          <w:rFonts w:ascii="DINPro-Medium" w:hAnsi="DINPro-Medium"/>
          <w:b w:val="0"/>
          <w:i w:val="0"/>
        </w:rPr>
        <w:t>4</w:t>
      </w:r>
      <w:r w:rsidR="008C3F9C" w:rsidRPr="009F09FF">
        <w:rPr>
          <w:rFonts w:ascii="DINPro-Medium" w:hAnsi="DINPro-Medium"/>
          <w:b w:val="0"/>
          <w:i w:val="0"/>
        </w:rPr>
        <w:t>.</w:t>
      </w:r>
      <w:r w:rsidRPr="009F09FF">
        <w:rPr>
          <w:rFonts w:ascii="DINPro-Medium" w:hAnsi="DINPro-Medium"/>
          <w:b w:val="0"/>
          <w:i w:val="0"/>
        </w:rPr>
        <w:t>1</w:t>
      </w:r>
      <w:r w:rsidR="001B6A2D" w:rsidRPr="009F09FF">
        <w:rPr>
          <w:rFonts w:ascii="DINPro-Medium" w:hAnsi="DINPro-Medium"/>
          <w:b w:val="0"/>
          <w:i w:val="0"/>
        </w:rPr>
        <w:t xml:space="preserve"> </w:t>
      </w:r>
      <w:r w:rsidR="004F1534" w:rsidRPr="009F09FF">
        <w:rPr>
          <w:rFonts w:ascii="DINPro-Medium" w:hAnsi="DINPro-Medium"/>
          <w:b w:val="0"/>
          <w:i w:val="0"/>
        </w:rPr>
        <w:tab/>
      </w:r>
      <w:r w:rsidR="001B6A2D" w:rsidRPr="009F09FF">
        <w:rPr>
          <w:rFonts w:ascii="DINPro-Medium" w:hAnsi="DINPro-Medium"/>
          <w:b w:val="0"/>
          <w:i w:val="0"/>
        </w:rPr>
        <w:t>N</w:t>
      </w:r>
      <w:r w:rsidR="001829AE" w:rsidRPr="009F09FF">
        <w:rPr>
          <w:rFonts w:ascii="DINPro-Medium" w:hAnsi="DINPro-Medium"/>
          <w:b w:val="0"/>
          <w:i w:val="0"/>
        </w:rPr>
        <w:t xml:space="preserve">otification of results </w:t>
      </w:r>
    </w:p>
    <w:p w:rsidR="008246A9" w:rsidRDefault="008246A9" w:rsidP="008246A9">
      <w:bookmarkStart w:id="10" w:name="_Toc160854049"/>
      <w:bookmarkStart w:id="11" w:name="_Toc172007339"/>
      <w:r w:rsidRPr="004F1534">
        <w:t xml:space="preserve">Successful applicants will be notified in writing of the outcome of their application.  </w:t>
      </w:r>
      <w:r>
        <w:t xml:space="preserve">Once a project is approved, a Letter of Approval or </w:t>
      </w:r>
      <w:r w:rsidRPr="004F1534">
        <w:t xml:space="preserve">an Incentive Entitlement Certificate will be issued in line </w:t>
      </w:r>
      <w:r>
        <w:t>with</w:t>
      </w:r>
      <w:r w:rsidRPr="004F1534">
        <w:t xml:space="preserve"> Part </w:t>
      </w:r>
      <w:r>
        <w:t>6</w:t>
      </w:r>
      <w:r w:rsidRPr="004F1534">
        <w:t xml:space="preserve"> </w:t>
      </w:r>
      <w:r>
        <w:t xml:space="preserve">Section </w:t>
      </w:r>
      <w:r w:rsidRPr="004F1534">
        <w:t>2</w:t>
      </w:r>
      <w:r>
        <w:t>8</w:t>
      </w:r>
      <w:r w:rsidRPr="004F1534">
        <w:t xml:space="preserve"> </w:t>
      </w:r>
      <w:r w:rsidRPr="00A34A2E">
        <w:rPr>
          <w:i/>
        </w:rPr>
        <w:t>et seq.</w:t>
      </w:r>
      <w:r>
        <w:t xml:space="preserve"> </w:t>
      </w:r>
      <w:r w:rsidRPr="004F1534">
        <w:t>of the ME Act.</w:t>
      </w:r>
    </w:p>
    <w:p w:rsidR="00C15B7E" w:rsidRDefault="00C15B7E" w:rsidP="009F09FF">
      <w:pPr>
        <w:pStyle w:val="Heading1"/>
        <w:pBdr>
          <w:bottom w:val="none" w:sz="0" w:space="0" w:color="auto"/>
        </w:pBdr>
      </w:pPr>
    </w:p>
    <w:p w:rsidR="00CF444D" w:rsidRPr="009F09FF" w:rsidRDefault="002C1A20" w:rsidP="009F09FF">
      <w:pPr>
        <w:pStyle w:val="Heading1"/>
        <w:pBdr>
          <w:bottom w:val="none" w:sz="0" w:space="0" w:color="auto"/>
        </w:pBdr>
        <w:rPr>
          <w:rFonts w:ascii="DINPro-Medium" w:hAnsi="DINPro-Medium"/>
          <w:b w:val="0"/>
        </w:rPr>
      </w:pPr>
      <w:r w:rsidRPr="009F09FF">
        <w:rPr>
          <w:rFonts w:ascii="DINPro-Medium" w:hAnsi="DINPro-Medium"/>
          <w:b w:val="0"/>
        </w:rPr>
        <w:t>5</w:t>
      </w:r>
      <w:r w:rsidRPr="009F09FF">
        <w:rPr>
          <w:rFonts w:ascii="DINPro-Medium" w:hAnsi="DINPro-Medium"/>
          <w:b w:val="0"/>
        </w:rPr>
        <w:tab/>
      </w:r>
      <w:r w:rsidR="00464324" w:rsidRPr="009F09FF">
        <w:rPr>
          <w:rFonts w:ascii="DINPro-Medium" w:hAnsi="DINPro-Medium"/>
          <w:b w:val="0"/>
        </w:rPr>
        <w:t>Further Information</w:t>
      </w:r>
      <w:bookmarkEnd w:id="10"/>
      <w:bookmarkEnd w:id="11"/>
    </w:p>
    <w:p w:rsidR="002C1A20" w:rsidRDefault="002C1A20" w:rsidP="002C1A20">
      <w:pPr>
        <w:pStyle w:val="Bullets"/>
        <w:numPr>
          <w:ilvl w:val="0"/>
          <w:numId w:val="0"/>
        </w:numPr>
        <w:tabs>
          <w:tab w:val="num" w:pos="1440"/>
        </w:tabs>
      </w:pPr>
      <w:r>
        <w:t>For the full definition of SME, see the “Official Journal of the European Union (L124/36) dated 20</w:t>
      </w:r>
      <w:r w:rsidRPr="004A6A7D">
        <w:rPr>
          <w:vertAlign w:val="superscript"/>
        </w:rPr>
        <w:t>th</w:t>
      </w:r>
      <w:r>
        <w:t xml:space="preserve"> May 2003 – Commission Recommendation of 6</w:t>
      </w:r>
      <w:r w:rsidRPr="004A6A7D">
        <w:rPr>
          <w:vertAlign w:val="superscript"/>
        </w:rPr>
        <w:t>th</w:t>
      </w:r>
      <w:r>
        <w:t xml:space="preserve"> May 2003 concerning the definition of micro, small and medium-sized enterprise”. [</w:t>
      </w:r>
      <w:hyperlink r:id="rId11" w:history="1">
        <w:r w:rsidRPr="00880BEA">
          <w:rPr>
            <w:rStyle w:val="Hyperlink"/>
          </w:rPr>
          <w:t>link</w:t>
        </w:r>
      </w:hyperlink>
      <w:r>
        <w:t>]</w:t>
      </w:r>
    </w:p>
    <w:p w:rsidR="00C600D0" w:rsidRDefault="002C1A20" w:rsidP="002C1A20">
      <w:r>
        <w:t xml:space="preserve">These guidelines are pursuant to the ‘De Minimis Rule’ as defined in </w:t>
      </w:r>
      <w:r w:rsidRPr="003448B1">
        <w:rPr>
          <w:i/>
          <w:iCs/>
        </w:rPr>
        <w:t xml:space="preserve">Commission Regulation (EC) No. 1998/2006 on the application of Articles 87 and 88 of the EC Treaty to </w:t>
      </w:r>
      <w:r w:rsidRPr="003448B1">
        <w:rPr>
          <w:b/>
          <w:i/>
          <w:iCs/>
        </w:rPr>
        <w:t>de minimis aid</w:t>
      </w:r>
      <w:r>
        <w:rPr>
          <w:b/>
          <w:i/>
          <w:iCs/>
        </w:rPr>
        <w:t xml:space="preserve">. </w:t>
      </w:r>
      <w:r w:rsidRPr="003448B1">
        <w:t xml:space="preserve"> </w:t>
      </w:r>
      <w:r>
        <w:t>[</w:t>
      </w:r>
      <w:hyperlink r:id="rId12" w:history="1">
        <w:r w:rsidRPr="00880BEA">
          <w:rPr>
            <w:rStyle w:val="Hyperlink"/>
          </w:rPr>
          <w:t>link</w:t>
        </w:r>
      </w:hyperlink>
      <w:r>
        <w:t>]</w:t>
      </w:r>
      <w:r w:rsidR="00377EB8">
        <w:t xml:space="preserve"> </w:t>
      </w:r>
    </w:p>
    <w:p w:rsidR="00377EB8" w:rsidRDefault="00377EB8" w:rsidP="002C1A20"/>
    <w:p w:rsidR="002C1A20" w:rsidRPr="009F09FF" w:rsidRDefault="002C1A20" w:rsidP="00C600D0">
      <w:pPr>
        <w:pStyle w:val="Heading3"/>
        <w:rPr>
          <w:rFonts w:ascii="DINPro-Medium" w:hAnsi="DINPro-Medium"/>
          <w:b w:val="0"/>
        </w:rPr>
      </w:pPr>
      <w:r w:rsidRPr="009F09FF">
        <w:rPr>
          <w:rFonts w:ascii="DINPro-Medium" w:hAnsi="DINPro-Medium"/>
          <w:b w:val="0"/>
        </w:rPr>
        <w:t>5.1</w:t>
      </w:r>
      <w:r w:rsidRPr="009F09FF">
        <w:rPr>
          <w:rFonts w:ascii="DINPro-Medium" w:hAnsi="DINPro-Medium"/>
          <w:b w:val="0"/>
        </w:rPr>
        <w:tab/>
        <w:t xml:space="preserve">Business Advisory Services </w:t>
      </w:r>
    </w:p>
    <w:p w:rsidR="002C1A20" w:rsidRDefault="002C1A20" w:rsidP="00052347">
      <w:pPr>
        <w:pStyle w:val="BodyText"/>
        <w:keepLines/>
        <w:jc w:val="both"/>
        <w:rPr>
          <w:rFonts w:cs="Arial"/>
          <w:szCs w:val="18"/>
        </w:rPr>
      </w:pPr>
      <w:r w:rsidRPr="009C4EC6">
        <w:rPr>
          <w:rFonts w:cs="Arial"/>
          <w:szCs w:val="18"/>
        </w:rPr>
        <w:t xml:space="preserve">Malta Enterprise may recommend </w:t>
      </w:r>
      <w:r w:rsidR="00A86711">
        <w:rPr>
          <w:rFonts w:cs="Arial"/>
          <w:szCs w:val="18"/>
        </w:rPr>
        <w:t xml:space="preserve">the use of a </w:t>
      </w:r>
      <w:r w:rsidRPr="009C4EC6">
        <w:rPr>
          <w:rFonts w:cs="Arial"/>
          <w:szCs w:val="18"/>
        </w:rPr>
        <w:t>Business Advisor</w:t>
      </w:r>
      <w:r w:rsidR="00A86711">
        <w:rPr>
          <w:rFonts w:cs="Arial"/>
          <w:szCs w:val="18"/>
        </w:rPr>
        <w:t xml:space="preserve"> to support you in this </w:t>
      </w:r>
      <w:r w:rsidRPr="009C4EC6">
        <w:rPr>
          <w:rFonts w:cs="Arial"/>
          <w:szCs w:val="18"/>
        </w:rPr>
        <w:t>project</w:t>
      </w:r>
      <w:r w:rsidR="00A86711">
        <w:rPr>
          <w:rFonts w:cs="Arial"/>
          <w:szCs w:val="18"/>
        </w:rPr>
        <w:t xml:space="preserve">.  Through </w:t>
      </w:r>
      <w:r w:rsidRPr="00A86711">
        <w:rPr>
          <w:rFonts w:cs="Arial"/>
          <w:i/>
          <w:szCs w:val="18"/>
        </w:rPr>
        <w:t>Business Advisory Service</w:t>
      </w:r>
      <w:r w:rsidR="00A86711" w:rsidRPr="00A86711">
        <w:rPr>
          <w:rFonts w:cs="Arial"/>
          <w:i/>
          <w:szCs w:val="18"/>
        </w:rPr>
        <w:t>s</w:t>
      </w:r>
      <w:r w:rsidR="00A86711">
        <w:rPr>
          <w:rFonts w:cs="Arial"/>
          <w:i/>
          <w:szCs w:val="18"/>
        </w:rPr>
        <w:t>,</w:t>
      </w:r>
      <w:r w:rsidR="00A86711">
        <w:rPr>
          <w:rFonts w:cs="Arial"/>
          <w:szCs w:val="18"/>
        </w:rPr>
        <w:t xml:space="preserve"> Malta Enterprise will</w:t>
      </w:r>
      <w:r w:rsidRPr="009C4EC6">
        <w:rPr>
          <w:rFonts w:cs="Arial"/>
          <w:szCs w:val="18"/>
        </w:rPr>
        <w:t xml:space="preserve"> provide you with advice and assistance in writing proposals</w:t>
      </w:r>
      <w:r w:rsidR="00052347">
        <w:rPr>
          <w:rFonts w:cs="Arial"/>
          <w:szCs w:val="18"/>
        </w:rPr>
        <w:t xml:space="preserve"> for EU Programmes</w:t>
      </w:r>
      <w:r w:rsidRPr="009C4EC6">
        <w:rPr>
          <w:rFonts w:cs="Arial"/>
          <w:szCs w:val="18"/>
        </w:rPr>
        <w:t xml:space="preserve">, market research, market analysis, technical feasibility and legal advice. </w:t>
      </w:r>
    </w:p>
    <w:p w:rsidR="00A86711" w:rsidRPr="00A86711" w:rsidRDefault="00A86711" w:rsidP="002C1A20">
      <w:pPr>
        <w:pStyle w:val="BodyText"/>
        <w:keepLines/>
        <w:jc w:val="both"/>
        <w:rPr>
          <w:rFonts w:cs="Arial"/>
          <w:szCs w:val="18"/>
        </w:rPr>
      </w:pPr>
      <w:r>
        <w:rPr>
          <w:rFonts w:cs="Arial"/>
          <w:szCs w:val="18"/>
        </w:rPr>
        <w:t xml:space="preserve">(Please refer to the </w:t>
      </w:r>
      <w:r w:rsidRPr="00B54F23">
        <w:rPr>
          <w:rFonts w:cs="Arial"/>
          <w:szCs w:val="18"/>
        </w:rPr>
        <w:t>Business Advisory Services</w:t>
      </w:r>
      <w:r>
        <w:rPr>
          <w:rFonts w:cs="Arial"/>
          <w:i/>
          <w:szCs w:val="18"/>
        </w:rPr>
        <w:t xml:space="preserve"> </w:t>
      </w:r>
      <w:r>
        <w:rPr>
          <w:rFonts w:cs="Arial"/>
          <w:szCs w:val="18"/>
        </w:rPr>
        <w:t>scheme for further details.)</w:t>
      </w:r>
    </w:p>
    <w:p w:rsidR="00C15B7E" w:rsidRDefault="00C15B7E" w:rsidP="00C15B7E"/>
    <w:p w:rsidR="002C1A20" w:rsidRPr="009F09FF" w:rsidRDefault="002C1A20" w:rsidP="00C600D0">
      <w:pPr>
        <w:pStyle w:val="Heading3"/>
        <w:rPr>
          <w:rFonts w:ascii="DINPro-Medium" w:hAnsi="DINPro-Medium"/>
          <w:b w:val="0"/>
        </w:rPr>
      </w:pPr>
      <w:r w:rsidRPr="009F09FF">
        <w:rPr>
          <w:rFonts w:ascii="DINPro-Medium" w:hAnsi="DINPro-Medium"/>
          <w:b w:val="0"/>
        </w:rPr>
        <w:t xml:space="preserve">5.2 </w:t>
      </w:r>
      <w:r w:rsidRPr="009F09FF">
        <w:rPr>
          <w:rFonts w:ascii="DINPro-Medium" w:hAnsi="DINPro-Medium"/>
          <w:b w:val="0"/>
        </w:rPr>
        <w:tab/>
      </w:r>
      <w:r w:rsidR="001142D5" w:rsidRPr="009F09FF">
        <w:rPr>
          <w:rFonts w:ascii="DINPro-Medium" w:hAnsi="DINPro-Medium"/>
          <w:b w:val="0"/>
        </w:rPr>
        <w:t xml:space="preserve">European Support programmes </w:t>
      </w:r>
    </w:p>
    <w:p w:rsidR="001142D5" w:rsidRDefault="001142D5" w:rsidP="001142D5">
      <w:r>
        <w:t>The Malta Enterprise Exploratory Award can be used for a number of EU programmes such as the FP7</w:t>
      </w:r>
      <w:r w:rsidR="001779F1">
        <w:t xml:space="preserve"> and</w:t>
      </w:r>
      <w:r>
        <w:t xml:space="preserve"> CIP</w:t>
      </w:r>
      <w:r w:rsidR="001779F1">
        <w:t>:</w:t>
      </w:r>
      <w:r>
        <w:t xml:space="preserve"> </w:t>
      </w:r>
    </w:p>
    <w:p w:rsidR="001142D5" w:rsidRDefault="001142D5" w:rsidP="00D5739B">
      <w:pPr>
        <w:numPr>
          <w:ilvl w:val="0"/>
          <w:numId w:val="21"/>
        </w:numPr>
        <w:jc w:val="left"/>
      </w:pPr>
      <w:r>
        <w:t xml:space="preserve">The </w:t>
      </w:r>
      <w:r w:rsidRPr="001142D5">
        <w:rPr>
          <w:b/>
        </w:rPr>
        <w:t>7th Framework Programme</w:t>
      </w:r>
      <w:r>
        <w:t xml:space="preserve"> (FP7) for research and technological development pays special attention to the SME’s through its different programmes. Its main priority is to promote world-class research and scientific excellence. SME’s can benefit mainly through the following programmes: Cooperation, Capacities and People. Further information about these programmes may be found on CORDIS </w:t>
      </w:r>
      <w:hyperlink r:id="rId13" w:history="1">
        <w:r w:rsidR="00FE1056" w:rsidRPr="000024A1">
          <w:rPr>
            <w:rStyle w:val="Hyperlink"/>
          </w:rPr>
          <w:t>http://cordis.europa.eu/fp7/home_en.html</w:t>
        </w:r>
      </w:hyperlink>
      <w:r w:rsidR="00FE1056">
        <w:t xml:space="preserve"> </w:t>
      </w:r>
      <w:r>
        <w:t xml:space="preserve">or through the National Contact point - MCST </w:t>
      </w:r>
      <w:hyperlink r:id="rId14" w:history="1">
        <w:r w:rsidR="00FE1056" w:rsidRPr="000024A1">
          <w:rPr>
            <w:rStyle w:val="Hyperlink"/>
          </w:rPr>
          <w:t>www.mcst.gov.mt</w:t>
        </w:r>
      </w:hyperlink>
      <w:r w:rsidR="00D5739B">
        <w:t>.</w:t>
      </w:r>
      <w:r w:rsidR="00FE1056">
        <w:t xml:space="preserve"> </w:t>
      </w:r>
      <w:r>
        <w:t xml:space="preserve"> </w:t>
      </w:r>
    </w:p>
    <w:p w:rsidR="001142D5" w:rsidRDefault="001142D5" w:rsidP="00D5739B">
      <w:pPr>
        <w:numPr>
          <w:ilvl w:val="0"/>
          <w:numId w:val="21"/>
        </w:numPr>
        <w:jc w:val="left"/>
      </w:pPr>
      <w:r>
        <w:t xml:space="preserve">The </w:t>
      </w:r>
      <w:r w:rsidRPr="001142D5">
        <w:rPr>
          <w:b/>
        </w:rPr>
        <w:t xml:space="preserve">Competitiveness Innovation Programme </w:t>
      </w:r>
      <w:r>
        <w:t xml:space="preserve">(CIP) focuses on all innovation-related Community Programmes. This programme has a number of objectives amongst which to promote the competitiveness of enterprises, in particular SME’s; foster all forms of innovation; and improve and speed up the development of a sustainable, competitive, inventive and comprehensive Information Society. The programmes supported through this fund are: Entrepreneurship and Innovation (EIP); Information Communication Technologies Policy </w:t>
      </w:r>
      <w:r>
        <w:lastRenderedPageBreak/>
        <w:t xml:space="preserve">support programme (ICT PSP); and Intelligent Energy </w:t>
      </w:r>
      <w:smartTag w:uri="urn:schemas-microsoft-com:office:smarttags" w:element="place">
        <w:r>
          <w:t>Europe</w:t>
        </w:r>
      </w:smartTag>
      <w:r>
        <w:t xml:space="preserve"> (IEE).  Further information, including the relevant National Contact Points may be found on </w:t>
      </w:r>
      <w:hyperlink r:id="rId15" w:history="1">
        <w:r w:rsidR="00FE1056" w:rsidRPr="000024A1">
          <w:rPr>
            <w:rStyle w:val="Hyperlink"/>
          </w:rPr>
          <w:t>http://ec.europa.eu/cip/index_en.htm</w:t>
        </w:r>
      </w:hyperlink>
      <w:r w:rsidR="00FE1056">
        <w:t xml:space="preserve"> </w:t>
      </w:r>
    </w:p>
    <w:p w:rsidR="00C15B7E" w:rsidRPr="00FC001E" w:rsidRDefault="00C15B7E" w:rsidP="00FC001E"/>
    <w:p w:rsidR="009D3894" w:rsidRDefault="00C600D0" w:rsidP="009F09FF">
      <w:pPr>
        <w:pStyle w:val="Heading1"/>
        <w:pBdr>
          <w:bottom w:val="none" w:sz="0" w:space="0" w:color="auto"/>
        </w:pBdr>
      </w:pPr>
      <w:bookmarkStart w:id="12" w:name="_Toc160854050"/>
      <w:bookmarkStart w:id="13" w:name="_Toc172007340"/>
      <w:r>
        <w:t>6</w:t>
      </w:r>
      <w:r w:rsidR="009D3894">
        <w:tab/>
        <w:t>State Aid Rules and Obligations</w:t>
      </w:r>
      <w:bookmarkEnd w:id="12"/>
      <w:bookmarkEnd w:id="13"/>
      <w:r w:rsidR="009D3894">
        <w:t xml:space="preserve">  </w:t>
      </w:r>
    </w:p>
    <w:p w:rsidR="00134954" w:rsidRPr="009F09FF" w:rsidRDefault="00C600D0" w:rsidP="00134954">
      <w:pPr>
        <w:pStyle w:val="Heading2"/>
        <w:rPr>
          <w:rFonts w:ascii="DINPro-Medium" w:hAnsi="DINPro-Medium"/>
          <w:b w:val="0"/>
          <w:i w:val="0"/>
        </w:rPr>
      </w:pPr>
      <w:r w:rsidRPr="009F09FF">
        <w:rPr>
          <w:rFonts w:ascii="DINPro-Medium" w:hAnsi="DINPro-Medium"/>
          <w:b w:val="0"/>
          <w:i w:val="0"/>
        </w:rPr>
        <w:t>6</w:t>
      </w:r>
      <w:r w:rsidR="00134954" w:rsidRPr="009F09FF">
        <w:rPr>
          <w:rFonts w:ascii="DINPro-Medium" w:hAnsi="DINPro-Medium"/>
          <w:b w:val="0"/>
          <w:i w:val="0"/>
        </w:rPr>
        <w:t>.1</w:t>
      </w:r>
      <w:r w:rsidR="00134954" w:rsidRPr="009F09FF">
        <w:rPr>
          <w:rFonts w:ascii="DINPro-Medium" w:hAnsi="DINPro-Medium"/>
          <w:b w:val="0"/>
          <w:i w:val="0"/>
        </w:rPr>
        <w:tab/>
        <w:t xml:space="preserve">Applicable State Aid </w:t>
      </w:r>
    </w:p>
    <w:p w:rsidR="00134954" w:rsidRDefault="00134954" w:rsidP="00134954">
      <w:pPr>
        <w:autoSpaceDE w:val="0"/>
        <w:autoSpaceDN w:val="0"/>
        <w:adjustRightInd w:val="0"/>
        <w:rPr>
          <w:bCs/>
        </w:rPr>
      </w:pPr>
      <w:r>
        <w:rPr>
          <w:bCs/>
        </w:rPr>
        <w:t xml:space="preserve">The exploratory award falls under the </w:t>
      </w:r>
      <w:r w:rsidRPr="003448B1">
        <w:rPr>
          <w:i/>
          <w:iCs/>
        </w:rPr>
        <w:t xml:space="preserve">Commission Regulation (EC) No. 1998/2006 on the application of Articles 87 and 88 of the EC Treaty to </w:t>
      </w:r>
      <w:r w:rsidRPr="003448B1">
        <w:rPr>
          <w:b/>
          <w:i/>
          <w:iCs/>
        </w:rPr>
        <w:t>de minimis aid</w:t>
      </w:r>
      <w:r w:rsidR="001779F1" w:rsidRPr="001779F1">
        <w:t xml:space="preserve"> </w:t>
      </w:r>
      <w:r w:rsidR="001779F1">
        <w:t>[</w:t>
      </w:r>
      <w:hyperlink r:id="rId16" w:history="1">
        <w:r w:rsidR="001779F1" w:rsidRPr="00880BEA">
          <w:rPr>
            <w:rStyle w:val="Hyperlink"/>
          </w:rPr>
          <w:t>link</w:t>
        </w:r>
      </w:hyperlink>
      <w:r w:rsidR="001779F1">
        <w:t xml:space="preserve">]. </w:t>
      </w:r>
      <w:r>
        <w:t xml:space="preserve">  </w:t>
      </w:r>
      <w:r>
        <w:rPr>
          <w:bCs/>
        </w:rPr>
        <w:t xml:space="preserve">The </w:t>
      </w:r>
      <w:r w:rsidRPr="00B95C22">
        <w:rPr>
          <w:bCs/>
          <w:i/>
        </w:rPr>
        <w:t>de minimis</w:t>
      </w:r>
      <w:r>
        <w:rPr>
          <w:bCs/>
        </w:rPr>
        <w:t xml:space="preserve"> allowance for SME’s is of </w:t>
      </w:r>
      <w:r w:rsidR="007E6331">
        <w:rPr>
          <w:bCs/>
        </w:rPr>
        <w:t xml:space="preserve">Euro </w:t>
      </w:r>
      <w:r>
        <w:rPr>
          <w:bCs/>
        </w:rPr>
        <w:t>200,000 over a rolling 3 year period. More details of the State Aid Cumu</w:t>
      </w:r>
      <w:r w:rsidR="00D5739B">
        <w:rPr>
          <w:bCs/>
        </w:rPr>
        <w:t>lation may be found in section 6</w:t>
      </w:r>
      <w:r w:rsidR="00540485">
        <w:rPr>
          <w:bCs/>
        </w:rPr>
        <w:t>.2</w:t>
      </w:r>
      <w:r>
        <w:rPr>
          <w:bCs/>
        </w:rPr>
        <w:t xml:space="preserve"> below.</w:t>
      </w:r>
    </w:p>
    <w:p w:rsidR="009D3894" w:rsidRDefault="009D3894" w:rsidP="009D3894">
      <w:r w:rsidRPr="003448B1">
        <w:t xml:space="preserve">In terms of </w:t>
      </w:r>
      <w:r w:rsidRPr="003448B1">
        <w:rPr>
          <w:i/>
          <w:iCs/>
        </w:rPr>
        <w:t xml:space="preserve">Commission Regulation (EC) No. 1998/2006 on the application of Articles 87 and 88 of the EC Treaty to </w:t>
      </w:r>
      <w:r w:rsidRPr="003448B1">
        <w:rPr>
          <w:b/>
          <w:i/>
          <w:iCs/>
        </w:rPr>
        <w:t>de minimis aid</w:t>
      </w:r>
      <w:r w:rsidRPr="003448B1">
        <w:t xml:space="preserve">, an enterprise may receive a total amount of aid up to </w:t>
      </w:r>
      <w:r w:rsidR="007E6331">
        <w:rPr>
          <w:bCs/>
        </w:rPr>
        <w:t xml:space="preserve">Euro 200,000 </w:t>
      </w:r>
      <w:r w:rsidRPr="003448B1">
        <w:t xml:space="preserve">of </w:t>
      </w:r>
      <w:r w:rsidRPr="003448B1">
        <w:rPr>
          <w:i/>
          <w:iCs/>
        </w:rPr>
        <w:t>de minimis</w:t>
      </w:r>
      <w:r w:rsidRPr="003448B1">
        <w:t xml:space="preserve"> aid over a </w:t>
      </w:r>
      <w:r>
        <w:t xml:space="preserve">rolling </w:t>
      </w:r>
      <w:r w:rsidRPr="003448B1">
        <w:t xml:space="preserve">three fiscal year period. This maximum threshold includes all aid granted as </w:t>
      </w:r>
      <w:r w:rsidRPr="003448B1">
        <w:rPr>
          <w:i/>
          <w:iCs/>
        </w:rPr>
        <w:t>de minimis</w:t>
      </w:r>
      <w:r w:rsidRPr="003448B1">
        <w:t xml:space="preserve"> aid from </w:t>
      </w:r>
      <w:smartTag w:uri="urn:schemas-microsoft-com:office:smarttags" w:element="PersonName">
        <w:r w:rsidRPr="003448B1">
          <w:t>Malta Enterprise</w:t>
        </w:r>
      </w:smartTag>
      <w:r>
        <w:t xml:space="preserve"> as well as from </w:t>
      </w:r>
      <w:r w:rsidRPr="003448B1">
        <w:t xml:space="preserve">any body other than </w:t>
      </w:r>
      <w:smartTag w:uri="urn:schemas-microsoft-com:office:smarttags" w:element="PersonName">
        <w:r w:rsidRPr="003448B1">
          <w:t>Malta Enterprise</w:t>
        </w:r>
      </w:smartTag>
      <w:r w:rsidRPr="003448B1">
        <w:t xml:space="preserve">. Potentially any assistance from a public body may constitute State aid. Any </w:t>
      </w:r>
      <w:r w:rsidRPr="003448B1">
        <w:rPr>
          <w:i/>
          <w:iCs/>
        </w:rPr>
        <w:t xml:space="preserve">de minimis </w:t>
      </w:r>
      <w:r w:rsidRPr="003448B1">
        <w:t xml:space="preserve">aid received in excess of the </w:t>
      </w:r>
      <w:r w:rsidR="007E6331">
        <w:rPr>
          <w:bCs/>
        </w:rPr>
        <w:t xml:space="preserve">Euro 200,000 </w:t>
      </w:r>
      <w:r w:rsidRPr="003448B1">
        <w:t>threshold will have to be recuperated, with interest, from the enterprise receiving the aid</w:t>
      </w:r>
      <w:r>
        <w:t>.</w:t>
      </w:r>
    </w:p>
    <w:p w:rsidR="007E6331" w:rsidRPr="003448B1" w:rsidRDefault="007E6331" w:rsidP="009D3894"/>
    <w:p w:rsidR="009D3894" w:rsidRPr="00583960" w:rsidRDefault="009D3894" w:rsidP="009D3894">
      <w:r>
        <w:t xml:space="preserve">The </w:t>
      </w:r>
      <w:r>
        <w:rPr>
          <w:i/>
        </w:rPr>
        <w:t>d</w:t>
      </w:r>
      <w:r w:rsidRPr="00583960">
        <w:rPr>
          <w:i/>
        </w:rPr>
        <w:t>e minimis</w:t>
      </w:r>
      <w:r w:rsidRPr="00583960">
        <w:t xml:space="preserve"> </w:t>
      </w:r>
      <w:r>
        <w:t>regulation</w:t>
      </w:r>
      <w:r w:rsidRPr="00583960">
        <w:t xml:space="preserve"> will </w:t>
      </w:r>
      <w:r w:rsidRPr="00583960">
        <w:rPr>
          <w:b/>
          <w:caps/>
        </w:rPr>
        <w:t>not</w:t>
      </w:r>
      <w:r w:rsidRPr="00583960">
        <w:t xml:space="preserve"> apply to the following:</w:t>
      </w:r>
    </w:p>
    <w:p w:rsidR="009D3894" w:rsidRPr="00583960" w:rsidRDefault="009D3894" w:rsidP="009D3894">
      <w:pPr>
        <w:numPr>
          <w:ilvl w:val="0"/>
          <w:numId w:val="2"/>
        </w:numPr>
      </w:pPr>
      <w:r>
        <w:t>Aid granted to u</w:t>
      </w:r>
      <w:r w:rsidRPr="00583960">
        <w:t>ndertakings active in the fishery and aquaculture sectors as covered by Council Regulation (EC) No. 104/2000;</w:t>
      </w:r>
      <w:r w:rsidR="00BD4691">
        <w:t xml:space="preserve"> </w:t>
      </w:r>
    </w:p>
    <w:p w:rsidR="009D3894" w:rsidRPr="00583960" w:rsidRDefault="009D3894" w:rsidP="009D3894">
      <w:pPr>
        <w:numPr>
          <w:ilvl w:val="0"/>
          <w:numId w:val="2"/>
        </w:numPr>
      </w:pPr>
      <w:r>
        <w:t xml:space="preserve">Aid granted to </w:t>
      </w:r>
      <w:r w:rsidRPr="00583960">
        <w:t>undertakings active in the primary production of agricultural products as listed in Annex 1 to the Treaty;</w:t>
      </w:r>
    </w:p>
    <w:p w:rsidR="009D3894" w:rsidRPr="00583960" w:rsidRDefault="009D3894" w:rsidP="009D3894">
      <w:pPr>
        <w:numPr>
          <w:ilvl w:val="0"/>
          <w:numId w:val="2"/>
        </w:numPr>
      </w:pPr>
      <w:r>
        <w:t>Aid granted to u</w:t>
      </w:r>
      <w:r w:rsidRPr="00583960">
        <w:t>ndertakings active in the processing and marketing of agricultural products as listed in Annex 1 to the Treaty, in the following cases:</w:t>
      </w:r>
    </w:p>
    <w:p w:rsidR="009D3894" w:rsidRPr="00583960" w:rsidRDefault="009D3894" w:rsidP="0016383B">
      <w:pPr>
        <w:pStyle w:val="Bullets"/>
      </w:pPr>
      <w:r w:rsidRPr="00583960">
        <w:t>When the amount of the aid is fixed on the basis of the price or quantity of such products purchased from primary producers or put on the market by the undertakings concerned;</w:t>
      </w:r>
    </w:p>
    <w:p w:rsidR="009D3894" w:rsidRPr="00583960" w:rsidRDefault="009D3894" w:rsidP="0016383B">
      <w:pPr>
        <w:pStyle w:val="Bullets"/>
      </w:pPr>
      <w:r w:rsidRPr="00583960">
        <w:t>When the aid is conditional on being partly or entirely passed on to primary producers;</w:t>
      </w:r>
    </w:p>
    <w:p w:rsidR="009D3894" w:rsidRPr="00583960" w:rsidRDefault="009D3894" w:rsidP="009D3894">
      <w:pPr>
        <w:numPr>
          <w:ilvl w:val="0"/>
          <w:numId w:val="2"/>
        </w:numPr>
      </w:pPr>
      <w:r>
        <w:t>Aid to e</w:t>
      </w:r>
      <w:r w:rsidRPr="00583960">
        <w:t>xport-related activities towards third countries or Member States, namely aid directly linked to the quantities exported, to the establishment and operation of a distribution network or to other current expenditure linked to the export activity;</w:t>
      </w:r>
    </w:p>
    <w:p w:rsidR="009D3894" w:rsidRDefault="009D3894" w:rsidP="009D3894">
      <w:pPr>
        <w:numPr>
          <w:ilvl w:val="0"/>
          <w:numId w:val="2"/>
        </w:numPr>
      </w:pPr>
      <w:r w:rsidRPr="00583960">
        <w:t>Aid contingent upon the use of domestic over imported goods;</w:t>
      </w:r>
    </w:p>
    <w:p w:rsidR="00C15B7E" w:rsidRDefault="009D3894" w:rsidP="00C15B7E">
      <w:pPr>
        <w:numPr>
          <w:ilvl w:val="0"/>
          <w:numId w:val="2"/>
        </w:numPr>
      </w:pPr>
      <w:r>
        <w:t>Aid granted to undertakings in difficulty.</w:t>
      </w:r>
    </w:p>
    <w:p w:rsidR="00C15B7E" w:rsidRDefault="00C15B7E" w:rsidP="00C15B7E">
      <w:pPr>
        <w:ind w:left="360"/>
      </w:pPr>
    </w:p>
    <w:p w:rsidR="00134954" w:rsidRPr="009F09FF" w:rsidRDefault="00C600D0" w:rsidP="00134954">
      <w:pPr>
        <w:pStyle w:val="Heading2"/>
        <w:rPr>
          <w:rFonts w:ascii="DINPro-Medium" w:hAnsi="DINPro-Medium"/>
          <w:b w:val="0"/>
          <w:i w:val="0"/>
        </w:rPr>
      </w:pPr>
      <w:r w:rsidRPr="009F09FF">
        <w:rPr>
          <w:rFonts w:ascii="DINPro-Medium" w:hAnsi="DINPro-Medium"/>
          <w:b w:val="0"/>
          <w:i w:val="0"/>
        </w:rPr>
        <w:t>6</w:t>
      </w:r>
      <w:r w:rsidR="00134954" w:rsidRPr="009F09FF">
        <w:rPr>
          <w:rFonts w:ascii="DINPro-Medium" w:hAnsi="DINPro-Medium"/>
          <w:b w:val="0"/>
          <w:i w:val="0"/>
        </w:rPr>
        <w:t>.2</w:t>
      </w:r>
      <w:r w:rsidR="00134954" w:rsidRPr="009F09FF">
        <w:rPr>
          <w:rFonts w:ascii="DINPro-Medium" w:hAnsi="DINPro-Medium"/>
          <w:b w:val="0"/>
          <w:i w:val="0"/>
        </w:rPr>
        <w:tab/>
        <w:t xml:space="preserve">Cumulation </w:t>
      </w:r>
    </w:p>
    <w:p w:rsidR="00134954" w:rsidRDefault="00134954" w:rsidP="00134954">
      <w:r w:rsidRPr="00364CF7">
        <w:t>Aid granted under this incentive may only be cumulated with other aid under any other incentive</w:t>
      </w:r>
      <w:r>
        <w:t>(</w:t>
      </w:r>
      <w:r w:rsidRPr="00364CF7">
        <w:t>s</w:t>
      </w:r>
      <w:r>
        <w:t>)</w:t>
      </w:r>
      <w:r w:rsidRPr="00364CF7">
        <w:t>, or with other Community funding, in relation to the same item of expenditure as long as such cumulation does not exceed the gross aid intensity fixed by this Guideline.</w:t>
      </w:r>
    </w:p>
    <w:p w:rsidR="00134954" w:rsidRDefault="00134954" w:rsidP="00134954">
      <w:r>
        <w:t xml:space="preserve">De minims aid shall not be cumulated with State aid in respect of the same eligible costs if such cumulation would result in an aid intensity exceeding that fixed in the specific circumstances of each case by a block exemption regulation or decision adopted by the European commission. </w:t>
      </w:r>
    </w:p>
    <w:p w:rsidR="00D41692" w:rsidRDefault="00D41692" w:rsidP="00134954">
      <w:pPr>
        <w:tabs>
          <w:tab w:val="num" w:pos="1418"/>
        </w:tabs>
        <w:rPr>
          <w:sz w:val="24"/>
        </w:rPr>
      </w:pPr>
    </w:p>
    <w:p w:rsidR="006B60B6" w:rsidRDefault="006B60B6" w:rsidP="00134954">
      <w:pPr>
        <w:tabs>
          <w:tab w:val="num" w:pos="1418"/>
        </w:tabs>
        <w:rPr>
          <w:sz w:val="24"/>
        </w:rPr>
      </w:pPr>
    </w:p>
    <w:p w:rsidR="008246A9" w:rsidRDefault="008246A9" w:rsidP="00134954">
      <w:pPr>
        <w:tabs>
          <w:tab w:val="num" w:pos="1418"/>
        </w:tabs>
        <w:rPr>
          <w:sz w:val="24"/>
        </w:rPr>
      </w:pPr>
    </w:p>
    <w:p w:rsidR="008246A9" w:rsidRDefault="008246A9" w:rsidP="00134954">
      <w:pPr>
        <w:tabs>
          <w:tab w:val="num" w:pos="1418"/>
        </w:tabs>
        <w:rPr>
          <w:sz w:val="24"/>
        </w:rPr>
      </w:pPr>
    </w:p>
    <w:p w:rsidR="008246A9" w:rsidRPr="00583960" w:rsidRDefault="008246A9" w:rsidP="00134954">
      <w:pPr>
        <w:tabs>
          <w:tab w:val="num" w:pos="1418"/>
        </w:tabs>
        <w:rPr>
          <w:sz w:val="24"/>
        </w:rPr>
      </w:pPr>
    </w:p>
    <w:p w:rsidR="00CF444D" w:rsidRPr="009F09FF" w:rsidRDefault="00C600D0" w:rsidP="009F09FF">
      <w:pPr>
        <w:pStyle w:val="Heading1"/>
        <w:pBdr>
          <w:bottom w:val="none" w:sz="0" w:space="0" w:color="auto"/>
        </w:pBdr>
        <w:rPr>
          <w:rFonts w:ascii="DINPro-Medium" w:hAnsi="DINPro-Medium"/>
          <w:b w:val="0"/>
        </w:rPr>
      </w:pPr>
      <w:bookmarkStart w:id="14" w:name="_Toc160854052"/>
      <w:bookmarkStart w:id="15" w:name="_Toc172007341"/>
      <w:r w:rsidRPr="009F09FF">
        <w:rPr>
          <w:rFonts w:ascii="DINPro-Medium" w:hAnsi="DINPro-Medium"/>
          <w:b w:val="0"/>
        </w:rPr>
        <w:lastRenderedPageBreak/>
        <w:t>7</w:t>
      </w:r>
      <w:r w:rsidR="003315B5" w:rsidRPr="009F09FF">
        <w:rPr>
          <w:rFonts w:ascii="DINPro-Medium" w:hAnsi="DINPro-Medium"/>
          <w:b w:val="0"/>
        </w:rPr>
        <w:t>.</w:t>
      </w:r>
      <w:r w:rsidR="003315B5" w:rsidRPr="009F09FF">
        <w:rPr>
          <w:rFonts w:ascii="DINPro-Medium" w:hAnsi="DINPro-Medium"/>
          <w:b w:val="0"/>
        </w:rPr>
        <w:tab/>
      </w:r>
      <w:r w:rsidR="00464324" w:rsidRPr="009F09FF">
        <w:rPr>
          <w:rFonts w:ascii="DINPro-Medium" w:hAnsi="DINPro-Medium"/>
          <w:b w:val="0"/>
        </w:rPr>
        <w:t>Contact Details</w:t>
      </w:r>
      <w:bookmarkEnd w:id="14"/>
      <w:bookmarkEnd w:id="15"/>
      <w:r w:rsidR="00464324" w:rsidRPr="009F09FF">
        <w:rPr>
          <w:rFonts w:ascii="DINPro-Medium" w:hAnsi="DINPro-Medium"/>
          <w:b w:val="0"/>
        </w:rPr>
        <w:t xml:space="preserve"> </w:t>
      </w:r>
      <w:r w:rsidR="00CF444D" w:rsidRPr="009F09FF">
        <w:rPr>
          <w:rFonts w:ascii="DINPro-Medium" w:hAnsi="DINPro-Medium"/>
          <w:b w:val="0"/>
        </w:rPr>
        <w:t xml:space="preserve"> </w:t>
      </w:r>
    </w:p>
    <w:p w:rsidR="00E90E79" w:rsidRDefault="00E90E79" w:rsidP="00C15B7E">
      <w:r>
        <w:t>Further information on the scheme, as well as information and guidance on the filling in of the application form can be obtained by contacting Malta Enterprise</w:t>
      </w:r>
      <w:r w:rsidR="00A0200B">
        <w:t xml:space="preserve"> during office hours</w:t>
      </w:r>
    </w:p>
    <w:p w:rsidR="00246CAE" w:rsidRPr="00C600D0" w:rsidRDefault="00246CAE" w:rsidP="00E90E79">
      <w:pPr>
        <w:ind w:left="851"/>
        <w:rPr>
          <w:sz w:val="20"/>
          <w:szCs w:val="20"/>
        </w:rPr>
      </w:pPr>
    </w:p>
    <w:p w:rsidR="00DD0466" w:rsidRPr="00C600D0" w:rsidRDefault="00E90E79" w:rsidP="00C15B7E">
      <w:pPr>
        <w:pStyle w:val="AddressandContactDetails"/>
        <w:rPr>
          <w:sz w:val="20"/>
          <w:szCs w:val="20"/>
        </w:rPr>
      </w:pPr>
      <w:r w:rsidRPr="00C600D0">
        <w:rPr>
          <w:sz w:val="20"/>
          <w:szCs w:val="20"/>
        </w:rPr>
        <w:t xml:space="preserve">Postal Address: </w:t>
      </w:r>
      <w:r w:rsidRPr="00C600D0">
        <w:rPr>
          <w:sz w:val="20"/>
          <w:szCs w:val="20"/>
        </w:rPr>
        <w:tab/>
      </w:r>
      <w:r w:rsidR="00A0200B">
        <w:rPr>
          <w:sz w:val="20"/>
          <w:szCs w:val="20"/>
        </w:rPr>
        <w:t>Malta Enterprise</w:t>
      </w:r>
    </w:p>
    <w:p w:rsidR="00E90E79" w:rsidRPr="00C600D0" w:rsidRDefault="00C15B7E" w:rsidP="00C15B7E">
      <w:pPr>
        <w:pStyle w:val="AddressandContactDetails"/>
        <w:rPr>
          <w:sz w:val="20"/>
          <w:szCs w:val="20"/>
          <w:lang w:val="fr-FR"/>
        </w:rPr>
      </w:pPr>
      <w:r>
        <w:rPr>
          <w:sz w:val="20"/>
          <w:szCs w:val="20"/>
          <w:lang w:val="fr-FR"/>
        </w:rPr>
        <w:tab/>
      </w:r>
      <w:r>
        <w:rPr>
          <w:sz w:val="20"/>
          <w:szCs w:val="20"/>
          <w:lang w:val="fr-FR"/>
        </w:rPr>
        <w:tab/>
      </w:r>
      <w:r w:rsidR="00DD0466" w:rsidRPr="00C600D0">
        <w:rPr>
          <w:sz w:val="20"/>
          <w:szCs w:val="20"/>
          <w:lang w:val="fr-FR"/>
        </w:rPr>
        <w:tab/>
      </w:r>
      <w:r w:rsidR="00A0200B">
        <w:rPr>
          <w:sz w:val="20"/>
          <w:szCs w:val="20"/>
          <w:lang w:val="fr-FR"/>
        </w:rPr>
        <w:t>Gwardamangia Hill</w:t>
      </w:r>
      <w:r w:rsidR="00E90E79" w:rsidRPr="00C600D0">
        <w:rPr>
          <w:sz w:val="20"/>
          <w:szCs w:val="20"/>
          <w:lang w:val="fr-FR"/>
        </w:rPr>
        <w:t xml:space="preserve"> </w:t>
      </w:r>
    </w:p>
    <w:p w:rsidR="00E90E79" w:rsidRPr="00A0200B" w:rsidRDefault="00C15B7E" w:rsidP="00A0200B">
      <w:pPr>
        <w:pStyle w:val="AddressandContactDetails"/>
        <w:rPr>
          <w:sz w:val="20"/>
          <w:szCs w:val="20"/>
          <w:lang w:val="fr-FR"/>
        </w:rPr>
      </w:pPr>
      <w:r>
        <w:rPr>
          <w:sz w:val="20"/>
          <w:szCs w:val="20"/>
          <w:lang w:val="fr-FR"/>
        </w:rPr>
        <w:tab/>
      </w:r>
      <w:r>
        <w:rPr>
          <w:sz w:val="20"/>
          <w:szCs w:val="20"/>
          <w:lang w:val="fr-FR"/>
        </w:rPr>
        <w:tab/>
      </w:r>
      <w:r w:rsidR="00E90E79" w:rsidRPr="00C600D0">
        <w:rPr>
          <w:sz w:val="20"/>
          <w:szCs w:val="20"/>
          <w:lang w:val="fr-FR"/>
        </w:rPr>
        <w:tab/>
      </w:r>
      <w:r w:rsidR="00A0200B">
        <w:rPr>
          <w:sz w:val="20"/>
          <w:szCs w:val="20"/>
          <w:lang w:val="fr-FR"/>
        </w:rPr>
        <w:t>Pieta’, MEC0001</w:t>
      </w:r>
      <w:r w:rsidR="00E90E79" w:rsidRPr="00C600D0">
        <w:rPr>
          <w:sz w:val="20"/>
          <w:szCs w:val="20"/>
          <w:lang w:val="fr-FR"/>
        </w:rPr>
        <w:t xml:space="preserve"> </w:t>
      </w:r>
    </w:p>
    <w:p w:rsidR="00E90E79" w:rsidRPr="00C600D0" w:rsidRDefault="00C15B7E" w:rsidP="00C15B7E">
      <w:pPr>
        <w:pStyle w:val="AddressandContactDetails"/>
        <w:rPr>
          <w:sz w:val="20"/>
          <w:szCs w:val="20"/>
          <w:lang w:val="it-IT"/>
        </w:rPr>
      </w:pPr>
      <w:r>
        <w:rPr>
          <w:sz w:val="20"/>
          <w:szCs w:val="20"/>
          <w:lang w:val="it-IT"/>
        </w:rPr>
        <w:tab/>
      </w:r>
      <w:r>
        <w:rPr>
          <w:sz w:val="20"/>
          <w:szCs w:val="20"/>
          <w:lang w:val="it-IT"/>
        </w:rPr>
        <w:tab/>
      </w:r>
      <w:r w:rsidR="00E90E79" w:rsidRPr="00C600D0">
        <w:rPr>
          <w:sz w:val="20"/>
          <w:szCs w:val="20"/>
          <w:lang w:val="it-IT"/>
        </w:rPr>
        <w:tab/>
        <w:t xml:space="preserve">Malta </w:t>
      </w:r>
    </w:p>
    <w:p w:rsidR="00E90E79" w:rsidRPr="00C600D0" w:rsidRDefault="00E90E79" w:rsidP="00C15B7E">
      <w:pPr>
        <w:ind w:left="851"/>
        <w:rPr>
          <w:sz w:val="20"/>
          <w:szCs w:val="20"/>
        </w:rPr>
      </w:pPr>
      <w:r w:rsidRPr="00C600D0">
        <w:rPr>
          <w:sz w:val="20"/>
          <w:szCs w:val="20"/>
        </w:rPr>
        <w:t xml:space="preserve">Tel: </w:t>
      </w:r>
      <w:r w:rsidRPr="00C600D0">
        <w:rPr>
          <w:sz w:val="20"/>
          <w:szCs w:val="20"/>
        </w:rPr>
        <w:tab/>
      </w:r>
      <w:r w:rsidRPr="00C600D0">
        <w:rPr>
          <w:sz w:val="20"/>
          <w:szCs w:val="20"/>
        </w:rPr>
        <w:tab/>
      </w:r>
      <w:r w:rsidR="00C600D0">
        <w:rPr>
          <w:sz w:val="20"/>
          <w:szCs w:val="20"/>
        </w:rPr>
        <w:t xml:space="preserve">          </w:t>
      </w:r>
      <w:r w:rsidR="00C600D0">
        <w:rPr>
          <w:sz w:val="20"/>
          <w:szCs w:val="20"/>
        </w:rPr>
        <w:tab/>
      </w:r>
      <w:r w:rsidRPr="00C600D0">
        <w:rPr>
          <w:sz w:val="20"/>
          <w:szCs w:val="20"/>
        </w:rPr>
        <w:t xml:space="preserve">+356 </w:t>
      </w:r>
      <w:r w:rsidR="00A0200B">
        <w:rPr>
          <w:sz w:val="20"/>
          <w:szCs w:val="20"/>
        </w:rPr>
        <w:t>144</w:t>
      </w:r>
    </w:p>
    <w:p w:rsidR="00A0200B" w:rsidRDefault="00E90E79" w:rsidP="00A0200B">
      <w:pPr>
        <w:spacing w:after="0"/>
        <w:ind w:left="851"/>
        <w:rPr>
          <w:sz w:val="20"/>
          <w:szCs w:val="20"/>
        </w:rPr>
      </w:pPr>
      <w:r w:rsidRPr="00C600D0">
        <w:rPr>
          <w:sz w:val="20"/>
          <w:szCs w:val="20"/>
        </w:rPr>
        <w:t xml:space="preserve">Websites: </w:t>
      </w:r>
      <w:r w:rsidRPr="00C600D0">
        <w:rPr>
          <w:sz w:val="20"/>
          <w:szCs w:val="20"/>
        </w:rPr>
        <w:tab/>
      </w:r>
      <w:r w:rsidR="00246CAE" w:rsidRPr="00C600D0">
        <w:rPr>
          <w:sz w:val="20"/>
          <w:szCs w:val="20"/>
        </w:rPr>
        <w:t xml:space="preserve">           </w:t>
      </w:r>
      <w:r w:rsidR="00C600D0">
        <w:rPr>
          <w:sz w:val="20"/>
          <w:szCs w:val="20"/>
        </w:rPr>
        <w:tab/>
      </w:r>
      <w:r w:rsidR="00A0200B">
        <w:rPr>
          <w:sz w:val="20"/>
          <w:szCs w:val="20"/>
        </w:rPr>
        <w:t>http://</w:t>
      </w:r>
      <w:hyperlink r:id="rId17" w:history="1">
        <w:r w:rsidR="00C15B7E" w:rsidRPr="007239BB">
          <w:rPr>
            <w:rStyle w:val="Hyperlink"/>
            <w:sz w:val="20"/>
            <w:szCs w:val="20"/>
          </w:rPr>
          <w:t>www.maltaenterprise.com</w:t>
        </w:r>
      </w:hyperlink>
    </w:p>
    <w:p w:rsidR="00A0200B" w:rsidRDefault="00A0200B" w:rsidP="00A0200B">
      <w:pPr>
        <w:spacing w:before="0" w:after="0"/>
        <w:ind w:left="2876"/>
        <w:jc w:val="left"/>
        <w:rPr>
          <w:sz w:val="20"/>
          <w:szCs w:val="20"/>
        </w:rPr>
      </w:pPr>
      <w:r>
        <w:rPr>
          <w:sz w:val="20"/>
          <w:szCs w:val="20"/>
        </w:rPr>
        <w:t xml:space="preserve">The official Incentive Guidelines are published at </w:t>
      </w:r>
      <w:hyperlink r:id="rId18" w:history="1">
        <w:r w:rsidRPr="000C1FCB">
          <w:rPr>
            <w:rStyle w:val="Hyperlink"/>
            <w:sz w:val="20"/>
            <w:szCs w:val="20"/>
          </w:rPr>
          <w:t>http://www.maltaenterprise.com/en/support/exploratory-award</w:t>
        </w:r>
      </w:hyperlink>
    </w:p>
    <w:p w:rsidR="00A0200B" w:rsidRPr="00C600D0" w:rsidRDefault="00A0200B" w:rsidP="00A0200B">
      <w:pPr>
        <w:spacing w:before="0" w:after="0"/>
        <w:ind w:left="2876"/>
        <w:jc w:val="left"/>
        <w:rPr>
          <w:sz w:val="20"/>
          <w:szCs w:val="20"/>
        </w:rPr>
      </w:pPr>
    </w:p>
    <w:p w:rsidR="00E90E79" w:rsidRPr="00A0200B" w:rsidRDefault="00CF2878" w:rsidP="00C15B7E">
      <w:pPr>
        <w:ind w:left="851"/>
        <w:rPr>
          <w:sz w:val="20"/>
          <w:szCs w:val="20"/>
        </w:rPr>
      </w:pPr>
      <w:r w:rsidRPr="00C600D0">
        <w:rPr>
          <w:sz w:val="20"/>
          <w:szCs w:val="20"/>
        </w:rPr>
        <w:t>E</w:t>
      </w:r>
      <w:r w:rsidR="00E90E79" w:rsidRPr="00C600D0">
        <w:rPr>
          <w:sz w:val="20"/>
          <w:szCs w:val="20"/>
        </w:rPr>
        <w:t xml:space="preserve">mail: </w:t>
      </w:r>
      <w:r w:rsidR="00E90E79" w:rsidRPr="00C600D0">
        <w:rPr>
          <w:sz w:val="20"/>
          <w:szCs w:val="20"/>
        </w:rPr>
        <w:tab/>
      </w:r>
      <w:r w:rsidR="00246CAE" w:rsidRPr="00C600D0">
        <w:rPr>
          <w:sz w:val="20"/>
          <w:szCs w:val="20"/>
        </w:rPr>
        <w:t xml:space="preserve">         </w:t>
      </w:r>
      <w:r w:rsidR="00C600D0">
        <w:rPr>
          <w:sz w:val="20"/>
          <w:szCs w:val="20"/>
        </w:rPr>
        <w:tab/>
      </w:r>
      <w:hyperlink r:id="rId19" w:history="1">
        <w:r w:rsidR="00A0200B" w:rsidRPr="00A0200B">
          <w:rPr>
            <w:rStyle w:val="Hyperlink"/>
            <w:sz w:val="20"/>
            <w:szCs w:val="20"/>
          </w:rPr>
          <w:t>info@maltaenterprise.com</w:t>
        </w:r>
      </w:hyperlink>
      <w:r w:rsidR="00C15B7E" w:rsidRPr="00A0200B">
        <w:rPr>
          <w:sz w:val="20"/>
          <w:szCs w:val="20"/>
        </w:rPr>
        <w:t xml:space="preserve"> </w:t>
      </w:r>
    </w:p>
    <w:p w:rsidR="00276198" w:rsidRDefault="00276198"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Default="00A0200B" w:rsidP="00D523DC"/>
    <w:p w:rsidR="00A0200B" w:rsidRPr="009F09FF" w:rsidRDefault="00A0200B" w:rsidP="00A0200B">
      <w:pPr>
        <w:pStyle w:val="Default"/>
        <w:rPr>
          <w:rFonts w:ascii="DINPro-Medium" w:hAnsi="DINPro-Medium"/>
          <w:bCs/>
          <w:sz w:val="34"/>
          <w:szCs w:val="34"/>
        </w:rPr>
      </w:pPr>
      <w:r w:rsidRPr="009F09FF">
        <w:rPr>
          <w:rFonts w:ascii="DINPro-Medium" w:hAnsi="DINPro-Medium"/>
          <w:bCs/>
          <w:sz w:val="34"/>
          <w:szCs w:val="34"/>
        </w:rPr>
        <w:lastRenderedPageBreak/>
        <w:t xml:space="preserve">Annex 1 – Application Process </w:t>
      </w:r>
    </w:p>
    <w:p w:rsidR="00A0200B" w:rsidRDefault="00A0200B" w:rsidP="00A0200B">
      <w:pPr>
        <w:pStyle w:val="Default"/>
        <w:rPr>
          <w:sz w:val="34"/>
          <w:szCs w:val="34"/>
        </w:rPr>
      </w:pPr>
    </w:p>
    <w:p w:rsidR="00E66B09" w:rsidRDefault="00A0200B" w:rsidP="00E66B09">
      <w:pPr>
        <w:pStyle w:val="Default"/>
        <w:numPr>
          <w:ilvl w:val="0"/>
          <w:numId w:val="27"/>
        </w:numPr>
        <w:spacing w:after="127"/>
        <w:rPr>
          <w:sz w:val="18"/>
          <w:szCs w:val="18"/>
        </w:rPr>
      </w:pPr>
      <w:r>
        <w:rPr>
          <w:sz w:val="18"/>
          <w:szCs w:val="18"/>
        </w:rPr>
        <w:t xml:space="preserve">Enterprises should download the relevant ‘Instructions to Applicants’ and/or Application forms from the Malta Enterprise website: </w:t>
      </w:r>
      <w:hyperlink r:id="rId20" w:history="1">
        <w:r w:rsidR="00E66B09" w:rsidRPr="000C1FCB">
          <w:rPr>
            <w:rStyle w:val="Hyperlink"/>
            <w:sz w:val="18"/>
            <w:szCs w:val="18"/>
          </w:rPr>
          <w:t>http://www.maltaenterprise.com/en/support/exploratory-award</w:t>
        </w:r>
      </w:hyperlink>
      <w:r w:rsidR="00E66B09">
        <w:rPr>
          <w:sz w:val="18"/>
          <w:szCs w:val="18"/>
        </w:rPr>
        <w:t>.</w:t>
      </w:r>
    </w:p>
    <w:p w:rsidR="00A0200B" w:rsidRDefault="00A0200B" w:rsidP="00E66B09">
      <w:pPr>
        <w:pStyle w:val="Default"/>
        <w:numPr>
          <w:ilvl w:val="0"/>
          <w:numId w:val="27"/>
        </w:numPr>
        <w:rPr>
          <w:sz w:val="18"/>
          <w:szCs w:val="18"/>
        </w:rPr>
      </w:pPr>
      <w:r>
        <w:rPr>
          <w:sz w:val="18"/>
          <w:szCs w:val="18"/>
        </w:rPr>
        <w:t>Scheme adminis</w:t>
      </w:r>
      <w:r w:rsidR="00E66B09">
        <w:rPr>
          <w:sz w:val="18"/>
          <w:szCs w:val="18"/>
        </w:rPr>
        <w:t>tered through competitive calls.</w:t>
      </w:r>
    </w:p>
    <w:p w:rsidR="00E66B09" w:rsidRDefault="00E66B09" w:rsidP="00E66B09">
      <w:pPr>
        <w:pStyle w:val="Default"/>
        <w:ind w:left="720"/>
        <w:rPr>
          <w:sz w:val="18"/>
          <w:szCs w:val="18"/>
        </w:rPr>
      </w:pPr>
    </w:p>
    <w:p w:rsidR="00E66B09" w:rsidRDefault="00A0200B" w:rsidP="00E66B09">
      <w:pPr>
        <w:pStyle w:val="Default"/>
        <w:numPr>
          <w:ilvl w:val="0"/>
          <w:numId w:val="28"/>
        </w:numPr>
        <w:spacing w:after="127"/>
        <w:rPr>
          <w:sz w:val="18"/>
          <w:szCs w:val="18"/>
        </w:rPr>
      </w:pPr>
      <w:r>
        <w:rPr>
          <w:sz w:val="18"/>
          <w:szCs w:val="18"/>
        </w:rPr>
        <w:t xml:space="preserve">Incentives managed through a competitive call are based on a fixed budget and timeframe. Requests for assistance through these incentives will be evaluated and ranked. Once ranked, the top ranking applicants will be offered support through these incentives. </w:t>
      </w:r>
    </w:p>
    <w:p w:rsidR="00A0200B" w:rsidRDefault="00A0200B" w:rsidP="00E66B09">
      <w:pPr>
        <w:pStyle w:val="Default"/>
        <w:numPr>
          <w:ilvl w:val="0"/>
          <w:numId w:val="28"/>
        </w:numPr>
        <w:spacing w:after="127"/>
        <w:rPr>
          <w:sz w:val="18"/>
          <w:szCs w:val="18"/>
        </w:rPr>
      </w:pPr>
      <w:r>
        <w:rPr>
          <w:sz w:val="18"/>
          <w:szCs w:val="18"/>
        </w:rPr>
        <w:t xml:space="preserve">When an incentive is managed through a competitive call, Malta Enterprise will publish the call text in the local press. The call will be closed after circa 6 weeks from the first date of publication of the call text. Enterprises will be required to submit the relevant application form(s) and any other required documentation within this period. The call will also provide details on: </w:t>
      </w:r>
    </w:p>
    <w:p w:rsidR="00E66B09" w:rsidRDefault="00E66B09" w:rsidP="00E66B09">
      <w:pPr>
        <w:pStyle w:val="Default"/>
        <w:spacing w:after="129"/>
        <w:ind w:left="720"/>
        <w:rPr>
          <w:sz w:val="18"/>
          <w:szCs w:val="18"/>
        </w:rPr>
      </w:pPr>
      <w:r>
        <w:rPr>
          <w:sz w:val="18"/>
          <w:szCs w:val="18"/>
        </w:rPr>
        <w:t xml:space="preserve">i. </w:t>
      </w:r>
      <w:r>
        <w:rPr>
          <w:sz w:val="18"/>
          <w:szCs w:val="18"/>
        </w:rPr>
        <w:tab/>
        <w:t xml:space="preserve">how to obtain application forms; </w:t>
      </w:r>
    </w:p>
    <w:p w:rsidR="00E66B09" w:rsidRDefault="00E66B09" w:rsidP="00E66B09">
      <w:pPr>
        <w:pStyle w:val="Default"/>
        <w:spacing w:after="129"/>
        <w:ind w:left="720"/>
        <w:rPr>
          <w:sz w:val="18"/>
          <w:szCs w:val="18"/>
        </w:rPr>
      </w:pPr>
      <w:r>
        <w:rPr>
          <w:sz w:val="18"/>
          <w:szCs w:val="18"/>
        </w:rPr>
        <w:t xml:space="preserve">ii. </w:t>
      </w:r>
      <w:r>
        <w:rPr>
          <w:sz w:val="18"/>
          <w:szCs w:val="18"/>
        </w:rPr>
        <w:tab/>
        <w:t xml:space="preserve">how questions and queries related to the call can be addressed; </w:t>
      </w:r>
    </w:p>
    <w:p w:rsidR="00E66B09" w:rsidRDefault="00E66B09" w:rsidP="00E66B09">
      <w:pPr>
        <w:pStyle w:val="Default"/>
        <w:ind w:left="720"/>
        <w:rPr>
          <w:sz w:val="18"/>
          <w:szCs w:val="18"/>
        </w:rPr>
      </w:pPr>
      <w:r>
        <w:rPr>
          <w:sz w:val="18"/>
          <w:szCs w:val="18"/>
        </w:rPr>
        <w:t xml:space="preserve">iii. </w:t>
      </w:r>
      <w:r>
        <w:rPr>
          <w:sz w:val="18"/>
          <w:szCs w:val="18"/>
        </w:rPr>
        <w:tab/>
        <w:t xml:space="preserve">any support available to sustain enterprises in compiling the required data. </w:t>
      </w:r>
    </w:p>
    <w:p w:rsidR="00E66B09" w:rsidRDefault="00E66B09" w:rsidP="00E66B09">
      <w:pPr>
        <w:pStyle w:val="Default"/>
        <w:spacing w:after="127"/>
        <w:rPr>
          <w:sz w:val="18"/>
          <w:szCs w:val="18"/>
        </w:rPr>
      </w:pPr>
    </w:p>
    <w:p w:rsidR="00E66B09" w:rsidRDefault="00E66B09" w:rsidP="00E66B09">
      <w:pPr>
        <w:pStyle w:val="Default"/>
        <w:numPr>
          <w:ilvl w:val="0"/>
          <w:numId w:val="28"/>
        </w:numPr>
        <w:spacing w:after="127"/>
        <w:rPr>
          <w:sz w:val="18"/>
          <w:szCs w:val="18"/>
        </w:rPr>
      </w:pPr>
      <w:r>
        <w:rPr>
          <w:sz w:val="18"/>
          <w:szCs w:val="18"/>
        </w:rPr>
        <w:t>Application forms for competitive calls must be deposited in the tender box bearing the name of the incentive.</w:t>
      </w:r>
    </w:p>
    <w:p w:rsidR="00E66B09" w:rsidRDefault="00E66B09" w:rsidP="00A0200B">
      <w:pPr>
        <w:pStyle w:val="Default"/>
        <w:rPr>
          <w:sz w:val="18"/>
          <w:szCs w:val="18"/>
        </w:rPr>
      </w:pPr>
    </w:p>
    <w:p w:rsidR="00A0200B" w:rsidRDefault="00A0200B" w:rsidP="00E66B09">
      <w:pPr>
        <w:pStyle w:val="Default"/>
        <w:ind w:left="720"/>
        <w:rPr>
          <w:sz w:val="18"/>
          <w:szCs w:val="18"/>
        </w:rPr>
      </w:pPr>
    </w:p>
    <w:p w:rsidR="00A0200B" w:rsidRDefault="00A0200B" w:rsidP="00D606D7">
      <w:pPr>
        <w:pStyle w:val="Default"/>
        <w:numPr>
          <w:ilvl w:val="0"/>
          <w:numId w:val="27"/>
        </w:numPr>
        <w:rPr>
          <w:sz w:val="18"/>
          <w:szCs w:val="18"/>
        </w:rPr>
      </w:pPr>
      <w:r>
        <w:rPr>
          <w:sz w:val="18"/>
          <w:szCs w:val="18"/>
        </w:rPr>
        <w:t xml:space="preserve">Other Schemes </w:t>
      </w:r>
    </w:p>
    <w:p w:rsidR="00D606D7" w:rsidRDefault="00D606D7" w:rsidP="00D606D7">
      <w:pPr>
        <w:pStyle w:val="Default"/>
        <w:rPr>
          <w:sz w:val="18"/>
          <w:szCs w:val="18"/>
        </w:rPr>
      </w:pPr>
    </w:p>
    <w:p w:rsidR="00D606D7" w:rsidRDefault="00D606D7" w:rsidP="00D606D7">
      <w:pPr>
        <w:pStyle w:val="Default"/>
        <w:ind w:left="360"/>
        <w:rPr>
          <w:sz w:val="18"/>
          <w:szCs w:val="18"/>
        </w:rPr>
      </w:pPr>
      <w:r>
        <w:rPr>
          <w:sz w:val="18"/>
          <w:szCs w:val="18"/>
        </w:rPr>
        <w:t>The complete application as describe in the „Instructions to Applicants‟ document must be submitted to Malta Enterprise either by hand in a sealed envelope or through registered post. The application should be addressed to:</w:t>
      </w:r>
    </w:p>
    <w:p w:rsidR="00D606D7" w:rsidRDefault="00D606D7" w:rsidP="00D606D7">
      <w:pPr>
        <w:pStyle w:val="Default"/>
        <w:rPr>
          <w:sz w:val="18"/>
          <w:szCs w:val="18"/>
        </w:rPr>
      </w:pPr>
    </w:p>
    <w:p w:rsidR="00D606D7" w:rsidRPr="00D606D7" w:rsidRDefault="00D606D7" w:rsidP="00D606D7">
      <w:pPr>
        <w:pStyle w:val="Default"/>
        <w:ind w:left="2160" w:firstLine="720"/>
        <w:rPr>
          <w:sz w:val="20"/>
          <w:szCs w:val="20"/>
        </w:rPr>
      </w:pPr>
      <w:r w:rsidRPr="00D606D7">
        <w:rPr>
          <w:sz w:val="20"/>
          <w:szCs w:val="20"/>
        </w:rPr>
        <w:t xml:space="preserve">Business First </w:t>
      </w:r>
    </w:p>
    <w:p w:rsidR="00D606D7" w:rsidRPr="00C600D0" w:rsidRDefault="00D606D7" w:rsidP="00D606D7">
      <w:pPr>
        <w:pStyle w:val="AddressandContactDetails"/>
        <w:ind w:left="2291" w:firstLine="589"/>
        <w:rPr>
          <w:sz w:val="20"/>
          <w:szCs w:val="20"/>
        </w:rPr>
      </w:pPr>
      <w:r>
        <w:rPr>
          <w:sz w:val="20"/>
          <w:szCs w:val="20"/>
        </w:rPr>
        <w:t>Malta Enterprise</w:t>
      </w:r>
    </w:p>
    <w:p w:rsidR="00D606D7" w:rsidRPr="00C600D0" w:rsidRDefault="00D606D7" w:rsidP="00D606D7">
      <w:pPr>
        <w:pStyle w:val="AddressandContactDetails"/>
        <w:rPr>
          <w:sz w:val="20"/>
          <w:szCs w:val="20"/>
          <w:lang w:val="fr-FR"/>
        </w:rPr>
      </w:pPr>
      <w:r>
        <w:rPr>
          <w:sz w:val="20"/>
          <w:szCs w:val="20"/>
          <w:lang w:val="fr-FR"/>
        </w:rPr>
        <w:tab/>
      </w:r>
      <w:r>
        <w:rPr>
          <w:sz w:val="20"/>
          <w:szCs w:val="20"/>
          <w:lang w:val="fr-FR"/>
        </w:rPr>
        <w:tab/>
      </w:r>
      <w:r w:rsidRPr="00C600D0">
        <w:rPr>
          <w:sz w:val="20"/>
          <w:szCs w:val="20"/>
          <w:lang w:val="fr-FR"/>
        </w:rPr>
        <w:tab/>
      </w:r>
      <w:r>
        <w:rPr>
          <w:sz w:val="20"/>
          <w:szCs w:val="20"/>
          <w:lang w:val="fr-FR"/>
        </w:rPr>
        <w:t>Gwardamangia Hill</w:t>
      </w:r>
      <w:r w:rsidRPr="00C600D0">
        <w:rPr>
          <w:sz w:val="20"/>
          <w:szCs w:val="20"/>
          <w:lang w:val="fr-FR"/>
        </w:rPr>
        <w:t xml:space="preserve"> </w:t>
      </w:r>
    </w:p>
    <w:p w:rsidR="00D606D7" w:rsidRPr="00A0200B" w:rsidRDefault="00D606D7" w:rsidP="00D606D7">
      <w:pPr>
        <w:pStyle w:val="AddressandContactDetails"/>
        <w:rPr>
          <w:sz w:val="20"/>
          <w:szCs w:val="20"/>
          <w:lang w:val="fr-FR"/>
        </w:rPr>
      </w:pPr>
      <w:r>
        <w:rPr>
          <w:sz w:val="20"/>
          <w:szCs w:val="20"/>
          <w:lang w:val="fr-FR"/>
        </w:rPr>
        <w:tab/>
      </w:r>
      <w:r>
        <w:rPr>
          <w:sz w:val="20"/>
          <w:szCs w:val="20"/>
          <w:lang w:val="fr-FR"/>
        </w:rPr>
        <w:tab/>
      </w:r>
      <w:r w:rsidRPr="00C600D0">
        <w:rPr>
          <w:sz w:val="20"/>
          <w:szCs w:val="20"/>
          <w:lang w:val="fr-FR"/>
        </w:rPr>
        <w:tab/>
      </w:r>
      <w:r>
        <w:rPr>
          <w:sz w:val="20"/>
          <w:szCs w:val="20"/>
          <w:lang w:val="fr-FR"/>
        </w:rPr>
        <w:t>Pieta’, MEC0001</w:t>
      </w:r>
      <w:r w:rsidRPr="00C600D0">
        <w:rPr>
          <w:sz w:val="20"/>
          <w:szCs w:val="20"/>
          <w:lang w:val="fr-FR"/>
        </w:rPr>
        <w:t xml:space="preserve"> </w:t>
      </w:r>
    </w:p>
    <w:p w:rsidR="00D606D7" w:rsidRDefault="00D606D7" w:rsidP="00D606D7">
      <w:pPr>
        <w:pStyle w:val="AddressandContactDetails"/>
        <w:rPr>
          <w:sz w:val="20"/>
          <w:szCs w:val="20"/>
          <w:lang w:val="it-IT"/>
        </w:rPr>
      </w:pPr>
      <w:r>
        <w:rPr>
          <w:sz w:val="20"/>
          <w:szCs w:val="20"/>
          <w:lang w:val="it-IT"/>
        </w:rPr>
        <w:tab/>
      </w:r>
      <w:r>
        <w:rPr>
          <w:sz w:val="20"/>
          <w:szCs w:val="20"/>
          <w:lang w:val="it-IT"/>
        </w:rPr>
        <w:tab/>
      </w:r>
      <w:r w:rsidRPr="00C600D0">
        <w:rPr>
          <w:sz w:val="20"/>
          <w:szCs w:val="20"/>
          <w:lang w:val="it-IT"/>
        </w:rPr>
        <w:tab/>
        <w:t xml:space="preserve">Malta </w:t>
      </w:r>
    </w:p>
    <w:p w:rsidR="00D606D7" w:rsidRDefault="00D606D7" w:rsidP="00D606D7">
      <w:pPr>
        <w:pStyle w:val="Default"/>
        <w:rPr>
          <w:sz w:val="18"/>
          <w:szCs w:val="18"/>
        </w:rPr>
      </w:pPr>
    </w:p>
    <w:p w:rsidR="00D606D7" w:rsidRDefault="00D606D7" w:rsidP="00D606D7">
      <w:pPr>
        <w:pStyle w:val="Default"/>
        <w:rPr>
          <w:sz w:val="18"/>
          <w:szCs w:val="18"/>
        </w:rPr>
      </w:pPr>
    </w:p>
    <w:p w:rsidR="00D606D7" w:rsidRDefault="00D606D7" w:rsidP="00D606D7">
      <w:pPr>
        <w:pStyle w:val="Default"/>
        <w:numPr>
          <w:ilvl w:val="0"/>
          <w:numId w:val="27"/>
        </w:numPr>
        <w:rPr>
          <w:sz w:val="18"/>
          <w:szCs w:val="18"/>
        </w:rPr>
      </w:pPr>
      <w:r>
        <w:rPr>
          <w:sz w:val="18"/>
          <w:szCs w:val="18"/>
        </w:rPr>
        <w:t>It is recommended that potential applicants contact Malta Enterprise prior to submitting their application.  Malta Enterprise staff will support prospective applicants:</w:t>
      </w:r>
    </w:p>
    <w:p w:rsidR="00D606D7" w:rsidRDefault="00D606D7" w:rsidP="00D606D7">
      <w:pPr>
        <w:pStyle w:val="AddressandContactDetails"/>
        <w:ind w:left="0"/>
        <w:rPr>
          <w:sz w:val="20"/>
          <w:szCs w:val="20"/>
          <w:lang w:val="it-IT"/>
        </w:rPr>
      </w:pPr>
    </w:p>
    <w:p w:rsidR="00D606D7" w:rsidRPr="00C600D0" w:rsidRDefault="00D606D7" w:rsidP="00D606D7">
      <w:pPr>
        <w:pStyle w:val="AddressandContactDetails"/>
        <w:rPr>
          <w:sz w:val="20"/>
          <w:szCs w:val="20"/>
          <w:lang w:val="it-IT"/>
        </w:rPr>
      </w:pPr>
    </w:p>
    <w:p w:rsidR="00A0200B" w:rsidRDefault="00A0200B" w:rsidP="00D606D7">
      <w:pPr>
        <w:pStyle w:val="Default"/>
        <w:numPr>
          <w:ilvl w:val="2"/>
          <w:numId w:val="31"/>
        </w:numPr>
        <w:spacing w:after="129"/>
        <w:rPr>
          <w:sz w:val="18"/>
          <w:szCs w:val="18"/>
        </w:rPr>
      </w:pPr>
      <w:r>
        <w:rPr>
          <w:sz w:val="18"/>
          <w:szCs w:val="18"/>
        </w:rPr>
        <w:t xml:space="preserve">to understand the objectives of the incentive; </w:t>
      </w:r>
    </w:p>
    <w:p w:rsidR="00A0200B" w:rsidRDefault="00A0200B" w:rsidP="00D606D7">
      <w:pPr>
        <w:pStyle w:val="Default"/>
        <w:numPr>
          <w:ilvl w:val="2"/>
          <w:numId w:val="31"/>
        </w:numPr>
        <w:spacing w:after="129"/>
        <w:rPr>
          <w:sz w:val="18"/>
          <w:szCs w:val="18"/>
        </w:rPr>
      </w:pPr>
      <w:r>
        <w:rPr>
          <w:sz w:val="18"/>
          <w:szCs w:val="18"/>
        </w:rPr>
        <w:t xml:space="preserve">by explaining details relevant to this guideline document; </w:t>
      </w:r>
    </w:p>
    <w:p w:rsidR="00A0200B" w:rsidRDefault="00A0200B" w:rsidP="00D606D7">
      <w:pPr>
        <w:pStyle w:val="Default"/>
        <w:numPr>
          <w:ilvl w:val="2"/>
          <w:numId w:val="31"/>
        </w:numPr>
        <w:rPr>
          <w:sz w:val="18"/>
          <w:szCs w:val="18"/>
        </w:rPr>
      </w:pPr>
      <w:r>
        <w:rPr>
          <w:sz w:val="18"/>
          <w:szCs w:val="18"/>
        </w:rPr>
        <w:t xml:space="preserve">to address any problems they might encounter when completing their application. </w:t>
      </w:r>
    </w:p>
    <w:p w:rsidR="00A0200B" w:rsidRDefault="00A0200B" w:rsidP="00D523DC"/>
    <w:p w:rsidR="00D606D7" w:rsidRDefault="00D606D7" w:rsidP="00D523DC"/>
    <w:p w:rsidR="00D606D7" w:rsidRDefault="00D606D7" w:rsidP="00D523DC"/>
    <w:p w:rsidR="00D606D7" w:rsidRDefault="00D606D7" w:rsidP="00D523DC"/>
    <w:p w:rsidR="00D606D7" w:rsidRDefault="00D606D7" w:rsidP="00D523DC"/>
    <w:p w:rsidR="00D606D7" w:rsidRDefault="00D606D7" w:rsidP="00D523DC"/>
    <w:p w:rsidR="00D606D7" w:rsidRDefault="00D606D7" w:rsidP="00D523DC"/>
    <w:p w:rsidR="00D606D7" w:rsidRDefault="00D606D7" w:rsidP="00D523DC"/>
    <w:p w:rsidR="00D606D7" w:rsidRDefault="00D606D7" w:rsidP="00D523DC"/>
    <w:p w:rsidR="00D606D7" w:rsidRPr="009F09FF" w:rsidRDefault="00D606D7" w:rsidP="00D606D7">
      <w:pPr>
        <w:pStyle w:val="Default"/>
        <w:rPr>
          <w:rFonts w:ascii="DINPro-Medium" w:hAnsi="DINPro-Medium"/>
          <w:bCs/>
          <w:sz w:val="34"/>
          <w:szCs w:val="34"/>
        </w:rPr>
      </w:pPr>
      <w:r w:rsidRPr="009F09FF">
        <w:rPr>
          <w:rFonts w:ascii="DINPro-Medium" w:hAnsi="DINPro-Medium"/>
          <w:bCs/>
          <w:sz w:val="34"/>
          <w:szCs w:val="34"/>
        </w:rPr>
        <w:lastRenderedPageBreak/>
        <w:t xml:space="preserve">Annex 2 – Claims </w:t>
      </w:r>
    </w:p>
    <w:p w:rsidR="00D606D7" w:rsidRDefault="00D606D7" w:rsidP="00D606D7">
      <w:pPr>
        <w:pStyle w:val="Default"/>
        <w:rPr>
          <w:sz w:val="34"/>
          <w:szCs w:val="34"/>
        </w:rPr>
      </w:pPr>
    </w:p>
    <w:p w:rsidR="00D606D7" w:rsidRDefault="00D606D7" w:rsidP="000B4375">
      <w:pPr>
        <w:pStyle w:val="Default"/>
        <w:numPr>
          <w:ilvl w:val="0"/>
          <w:numId w:val="33"/>
        </w:numPr>
        <w:spacing w:after="127"/>
        <w:rPr>
          <w:sz w:val="18"/>
          <w:szCs w:val="18"/>
        </w:rPr>
      </w:pPr>
      <w:r>
        <w:rPr>
          <w:sz w:val="18"/>
          <w:szCs w:val="18"/>
        </w:rPr>
        <w:t xml:space="preserve">Any claims for co-funding must be based on the reimbursement of eligible costs. </w:t>
      </w:r>
    </w:p>
    <w:p w:rsidR="00D606D7" w:rsidRDefault="00D606D7" w:rsidP="000B4375">
      <w:pPr>
        <w:pStyle w:val="Default"/>
        <w:numPr>
          <w:ilvl w:val="0"/>
          <w:numId w:val="33"/>
        </w:numPr>
        <w:spacing w:after="127"/>
        <w:rPr>
          <w:sz w:val="18"/>
          <w:szCs w:val="18"/>
        </w:rPr>
      </w:pPr>
      <w:r>
        <w:rPr>
          <w:sz w:val="18"/>
          <w:szCs w:val="18"/>
        </w:rPr>
        <w:t xml:space="preserve">All undertaking shall be expected to submit claims in line with the terms of the Incentive Entitlement Certificate. </w:t>
      </w:r>
    </w:p>
    <w:p w:rsidR="00D606D7" w:rsidRDefault="00D606D7" w:rsidP="000B4375">
      <w:pPr>
        <w:pStyle w:val="Default"/>
        <w:numPr>
          <w:ilvl w:val="0"/>
          <w:numId w:val="33"/>
        </w:numPr>
        <w:spacing w:after="127"/>
        <w:rPr>
          <w:sz w:val="18"/>
          <w:szCs w:val="18"/>
        </w:rPr>
      </w:pPr>
      <w:r>
        <w:rPr>
          <w:sz w:val="18"/>
          <w:szCs w:val="18"/>
        </w:rPr>
        <w:t xml:space="preserve">Once the incentive is approved, claims for reimbursement shall be submitted at intervals as stipulated in the Incentive Entitlement Certificate. </w:t>
      </w:r>
    </w:p>
    <w:p w:rsidR="00D606D7" w:rsidRDefault="00D606D7" w:rsidP="000B4375">
      <w:pPr>
        <w:pStyle w:val="Default"/>
        <w:numPr>
          <w:ilvl w:val="0"/>
          <w:numId w:val="33"/>
        </w:numPr>
        <w:spacing w:after="127"/>
        <w:rPr>
          <w:sz w:val="18"/>
          <w:szCs w:val="18"/>
        </w:rPr>
      </w:pPr>
      <w:r>
        <w:rPr>
          <w:sz w:val="18"/>
          <w:szCs w:val="18"/>
        </w:rPr>
        <w:t xml:space="preserve">All claims must made on the claim form which will be made available by Malta Enterprise </w:t>
      </w:r>
    </w:p>
    <w:p w:rsidR="00D606D7" w:rsidRDefault="00D606D7" w:rsidP="000B4375">
      <w:pPr>
        <w:pStyle w:val="Default"/>
        <w:numPr>
          <w:ilvl w:val="0"/>
          <w:numId w:val="33"/>
        </w:numPr>
        <w:rPr>
          <w:sz w:val="18"/>
          <w:szCs w:val="18"/>
        </w:rPr>
      </w:pPr>
      <w:r>
        <w:rPr>
          <w:sz w:val="18"/>
          <w:szCs w:val="18"/>
        </w:rPr>
        <w:t xml:space="preserve">A claim made for reimbursement must be accompanied by the following information: </w:t>
      </w:r>
    </w:p>
    <w:p w:rsidR="000B4375" w:rsidRDefault="000B4375" w:rsidP="000B4375">
      <w:pPr>
        <w:pStyle w:val="Default"/>
        <w:ind w:left="360"/>
        <w:rPr>
          <w:sz w:val="18"/>
          <w:szCs w:val="18"/>
        </w:rPr>
      </w:pPr>
    </w:p>
    <w:p w:rsidR="00D606D7" w:rsidRDefault="00D606D7" w:rsidP="000B4375">
      <w:pPr>
        <w:pStyle w:val="Default"/>
        <w:numPr>
          <w:ilvl w:val="1"/>
          <w:numId w:val="33"/>
        </w:numPr>
        <w:spacing w:after="127"/>
        <w:rPr>
          <w:sz w:val="18"/>
          <w:szCs w:val="18"/>
        </w:rPr>
      </w:pPr>
      <w:r>
        <w:rPr>
          <w:sz w:val="18"/>
          <w:szCs w:val="18"/>
        </w:rPr>
        <w:t xml:space="preserve">An original VAT invoice and a receipt (an original fiscal receipt unless a VAT invoice is presented together with a copy of the invoice); </w:t>
      </w:r>
    </w:p>
    <w:p w:rsidR="00D606D7" w:rsidRDefault="00D606D7" w:rsidP="000B4375">
      <w:pPr>
        <w:pStyle w:val="Default"/>
        <w:numPr>
          <w:ilvl w:val="1"/>
          <w:numId w:val="33"/>
        </w:numPr>
        <w:spacing w:after="127"/>
        <w:rPr>
          <w:sz w:val="18"/>
          <w:szCs w:val="18"/>
        </w:rPr>
      </w:pPr>
      <w:r>
        <w:rPr>
          <w:sz w:val="18"/>
          <w:szCs w:val="18"/>
        </w:rPr>
        <w:t xml:space="preserve">Proof of payment of the invoice. (In the case of foreign payments the original proof of payment is required); </w:t>
      </w:r>
    </w:p>
    <w:p w:rsidR="00D606D7" w:rsidRDefault="000B4375" w:rsidP="000B4375">
      <w:pPr>
        <w:pStyle w:val="Default"/>
        <w:numPr>
          <w:ilvl w:val="1"/>
          <w:numId w:val="33"/>
        </w:numPr>
        <w:spacing w:after="127"/>
        <w:rPr>
          <w:sz w:val="18"/>
          <w:szCs w:val="18"/>
        </w:rPr>
      </w:pPr>
      <w:r>
        <w:rPr>
          <w:sz w:val="18"/>
          <w:szCs w:val="18"/>
        </w:rPr>
        <w:t xml:space="preserve">Copies of the </w:t>
      </w:r>
      <w:r w:rsidR="00D606D7">
        <w:rPr>
          <w:sz w:val="18"/>
          <w:szCs w:val="18"/>
        </w:rPr>
        <w:t xml:space="preserve">cashed cheques or original bank advice documents showing all payments effected in relation to the claimed costs. </w:t>
      </w:r>
    </w:p>
    <w:p w:rsidR="00D606D7" w:rsidRDefault="00D606D7" w:rsidP="000B4375">
      <w:pPr>
        <w:pStyle w:val="Default"/>
        <w:numPr>
          <w:ilvl w:val="1"/>
          <w:numId w:val="33"/>
        </w:numPr>
        <w:spacing w:after="127"/>
        <w:rPr>
          <w:sz w:val="18"/>
          <w:szCs w:val="18"/>
        </w:rPr>
      </w:pPr>
      <w:r>
        <w:rPr>
          <w:sz w:val="18"/>
          <w:szCs w:val="18"/>
        </w:rPr>
        <w:t xml:space="preserve">Where applicable written justification covering claims related to services / products where supplier / provider is different to that indicated in the application form; </w:t>
      </w:r>
    </w:p>
    <w:p w:rsidR="00D606D7" w:rsidRDefault="00D606D7" w:rsidP="000B4375">
      <w:pPr>
        <w:pStyle w:val="Default"/>
        <w:numPr>
          <w:ilvl w:val="1"/>
          <w:numId w:val="33"/>
        </w:numPr>
        <w:spacing w:after="127"/>
        <w:rPr>
          <w:sz w:val="18"/>
          <w:szCs w:val="18"/>
        </w:rPr>
      </w:pPr>
      <w:r>
        <w:rPr>
          <w:sz w:val="18"/>
          <w:szCs w:val="18"/>
        </w:rPr>
        <w:t xml:space="preserve">Supporting documentation such as studies (where applicable); </w:t>
      </w:r>
    </w:p>
    <w:p w:rsidR="00D606D7" w:rsidRDefault="00D606D7" w:rsidP="000B4375">
      <w:pPr>
        <w:pStyle w:val="Default"/>
        <w:numPr>
          <w:ilvl w:val="1"/>
          <w:numId w:val="33"/>
        </w:numPr>
        <w:rPr>
          <w:sz w:val="18"/>
          <w:szCs w:val="18"/>
        </w:rPr>
      </w:pPr>
      <w:r>
        <w:rPr>
          <w:sz w:val="18"/>
          <w:szCs w:val="18"/>
        </w:rPr>
        <w:t xml:space="preserve">In the case of Personnel costs (where applicable) the enterprises must back these claims through the official Final Settlement System FSS forms and time sheets where applicable. </w:t>
      </w:r>
    </w:p>
    <w:p w:rsidR="00D606D7" w:rsidRDefault="00D606D7" w:rsidP="00D606D7">
      <w:pPr>
        <w:pStyle w:val="Default"/>
        <w:rPr>
          <w:sz w:val="18"/>
          <w:szCs w:val="18"/>
        </w:rPr>
      </w:pPr>
    </w:p>
    <w:p w:rsidR="00D606D7" w:rsidRDefault="00D606D7" w:rsidP="000B4375">
      <w:pPr>
        <w:pStyle w:val="Default"/>
        <w:numPr>
          <w:ilvl w:val="0"/>
          <w:numId w:val="33"/>
        </w:numPr>
        <w:spacing w:after="129"/>
        <w:rPr>
          <w:sz w:val="18"/>
          <w:szCs w:val="18"/>
        </w:rPr>
      </w:pPr>
      <w:r>
        <w:rPr>
          <w:sz w:val="18"/>
          <w:szCs w:val="18"/>
        </w:rPr>
        <w:t xml:space="preserve">Any reports (technical or otherwise) submitted to substantiate the claim should be cleared for confidentiality with any third parties before submission to Malta Enterprise. </w:t>
      </w:r>
    </w:p>
    <w:p w:rsidR="00D606D7" w:rsidRDefault="00D606D7" w:rsidP="000B4375">
      <w:pPr>
        <w:pStyle w:val="Default"/>
        <w:numPr>
          <w:ilvl w:val="0"/>
          <w:numId w:val="33"/>
        </w:numPr>
        <w:spacing w:after="129"/>
        <w:rPr>
          <w:sz w:val="18"/>
          <w:szCs w:val="18"/>
        </w:rPr>
      </w:pPr>
      <w:r>
        <w:rPr>
          <w:sz w:val="18"/>
          <w:szCs w:val="18"/>
        </w:rPr>
        <w:t xml:space="preserve">Claims should be presented as net of VAT since VAT is not eligible for co-financing. </w:t>
      </w:r>
    </w:p>
    <w:p w:rsidR="00D606D7" w:rsidRDefault="00D606D7" w:rsidP="000B4375">
      <w:pPr>
        <w:pStyle w:val="Default"/>
        <w:numPr>
          <w:ilvl w:val="0"/>
          <w:numId w:val="33"/>
        </w:numPr>
        <w:spacing w:after="129"/>
        <w:rPr>
          <w:sz w:val="18"/>
          <w:szCs w:val="18"/>
        </w:rPr>
      </w:pPr>
      <w:r>
        <w:rPr>
          <w:sz w:val="18"/>
          <w:szCs w:val="18"/>
        </w:rPr>
        <w:t xml:space="preserve">Payments will only be issued after invoices, reports and any other requested documentation is submitted to and approved by Malta Enterprise. </w:t>
      </w:r>
    </w:p>
    <w:p w:rsidR="00D606D7" w:rsidRDefault="00D606D7" w:rsidP="000B4375">
      <w:pPr>
        <w:pStyle w:val="Default"/>
        <w:numPr>
          <w:ilvl w:val="0"/>
          <w:numId w:val="33"/>
        </w:numPr>
        <w:spacing w:after="129"/>
        <w:rPr>
          <w:sz w:val="18"/>
          <w:szCs w:val="18"/>
        </w:rPr>
      </w:pPr>
      <w:r>
        <w:rPr>
          <w:sz w:val="18"/>
          <w:szCs w:val="18"/>
        </w:rPr>
        <w:t xml:space="preserve">If the final eligible expenditure accounted for is less than the eligible costs budgeted for, the amount to be co-financed will be reduced pro rata and will be in line with the approved percentage(s) of co-financing. </w:t>
      </w:r>
    </w:p>
    <w:p w:rsidR="00D606D7" w:rsidRDefault="00D606D7" w:rsidP="000B4375">
      <w:pPr>
        <w:pStyle w:val="Default"/>
        <w:numPr>
          <w:ilvl w:val="0"/>
          <w:numId w:val="33"/>
        </w:numPr>
        <w:rPr>
          <w:sz w:val="18"/>
          <w:szCs w:val="18"/>
        </w:rPr>
      </w:pPr>
      <w:r>
        <w:rPr>
          <w:sz w:val="18"/>
          <w:szCs w:val="18"/>
        </w:rPr>
        <w:t xml:space="preserve">In the event that the project does not reach the targets set in the Incentive Entitlement Certificate relevant to the aid granted, Malta Enterprise may recall any funds already distributed to the beneficiary. </w:t>
      </w: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Default="000B4375" w:rsidP="000B4375">
      <w:pPr>
        <w:pStyle w:val="Default"/>
        <w:rPr>
          <w:sz w:val="18"/>
          <w:szCs w:val="18"/>
        </w:rPr>
      </w:pPr>
    </w:p>
    <w:p w:rsidR="000B4375" w:rsidRPr="009F09FF" w:rsidRDefault="000B4375" w:rsidP="000B4375">
      <w:pPr>
        <w:pStyle w:val="Default"/>
        <w:rPr>
          <w:rFonts w:ascii="DINPro-Medium" w:hAnsi="DINPro-Medium"/>
          <w:bCs/>
          <w:sz w:val="34"/>
          <w:szCs w:val="34"/>
        </w:rPr>
      </w:pPr>
      <w:r w:rsidRPr="009F09FF">
        <w:rPr>
          <w:rFonts w:ascii="DINPro-Medium" w:hAnsi="DINPro-Medium"/>
          <w:bCs/>
          <w:sz w:val="34"/>
          <w:szCs w:val="34"/>
        </w:rPr>
        <w:lastRenderedPageBreak/>
        <w:t xml:space="preserve">Annex 3 – General Rules and Conditions </w:t>
      </w:r>
    </w:p>
    <w:p w:rsidR="000B4375" w:rsidRDefault="000B4375" w:rsidP="000B4375">
      <w:pPr>
        <w:pStyle w:val="Default"/>
        <w:rPr>
          <w:sz w:val="34"/>
          <w:szCs w:val="34"/>
        </w:rPr>
      </w:pPr>
    </w:p>
    <w:p w:rsidR="000B4375" w:rsidRPr="009F09FF" w:rsidRDefault="000B4375" w:rsidP="000B4375">
      <w:pPr>
        <w:pStyle w:val="Default"/>
        <w:spacing w:after="240"/>
        <w:rPr>
          <w:rFonts w:ascii="DINPro-Medium" w:hAnsi="DINPro-Medium"/>
          <w:sz w:val="23"/>
          <w:szCs w:val="23"/>
        </w:rPr>
      </w:pPr>
      <w:r w:rsidRPr="009F09FF">
        <w:rPr>
          <w:rFonts w:ascii="DINPro-Medium" w:hAnsi="DINPro-Medium"/>
          <w:bCs/>
          <w:sz w:val="23"/>
          <w:szCs w:val="23"/>
        </w:rPr>
        <w:t xml:space="preserve">1) </w:t>
      </w:r>
      <w:r w:rsidR="009F09FF">
        <w:rPr>
          <w:rFonts w:ascii="DINPro-Medium" w:hAnsi="DINPro-Medium"/>
          <w:bCs/>
          <w:sz w:val="23"/>
          <w:szCs w:val="23"/>
        </w:rPr>
        <w:tab/>
      </w:r>
      <w:r w:rsidRPr="009F09FF">
        <w:rPr>
          <w:rFonts w:ascii="DINPro-Medium" w:hAnsi="DINPro-Medium"/>
          <w:bCs/>
          <w:sz w:val="23"/>
          <w:szCs w:val="23"/>
        </w:rPr>
        <w:t xml:space="preserve">Amendments to Approved Assistance </w:t>
      </w:r>
    </w:p>
    <w:p w:rsidR="000B4375" w:rsidRDefault="000B4375" w:rsidP="000B4375">
      <w:pPr>
        <w:pStyle w:val="Default"/>
        <w:rPr>
          <w:sz w:val="18"/>
          <w:szCs w:val="18"/>
        </w:rPr>
      </w:pPr>
      <w:r>
        <w:rPr>
          <w:sz w:val="18"/>
          <w:szCs w:val="18"/>
        </w:rPr>
        <w:t xml:space="preserve">Any amendments to an approved project must be timely notified to Malta Enterprise. A written request describing the proposed changes and including comprehensive arguments justifying the changes must be presented. Malta Enterprise will evaluate the proposed amendments and will within 6 weeks inform the applicant in writing of the outcome pursuant to the evaluation. The outcome of such evaluation may lead to any of the following: </w:t>
      </w:r>
    </w:p>
    <w:p w:rsidR="000B4375" w:rsidRDefault="000B4375" w:rsidP="000B4375">
      <w:pPr>
        <w:pStyle w:val="Default"/>
        <w:rPr>
          <w:sz w:val="18"/>
          <w:szCs w:val="18"/>
        </w:rPr>
      </w:pPr>
    </w:p>
    <w:p w:rsidR="000B4375" w:rsidRDefault="000B4375" w:rsidP="000B4375">
      <w:pPr>
        <w:pStyle w:val="Default"/>
        <w:numPr>
          <w:ilvl w:val="0"/>
          <w:numId w:val="34"/>
        </w:numPr>
        <w:spacing w:after="127"/>
        <w:rPr>
          <w:sz w:val="18"/>
          <w:szCs w:val="18"/>
        </w:rPr>
      </w:pPr>
      <w:r>
        <w:rPr>
          <w:sz w:val="18"/>
          <w:szCs w:val="18"/>
        </w:rPr>
        <w:t xml:space="preserve">A change in the amount of aid and/or activities supported. </w:t>
      </w:r>
    </w:p>
    <w:p w:rsidR="000B4375" w:rsidRDefault="000B4375" w:rsidP="000B4375">
      <w:pPr>
        <w:pStyle w:val="Default"/>
        <w:numPr>
          <w:ilvl w:val="0"/>
          <w:numId w:val="34"/>
        </w:numPr>
        <w:spacing w:after="127"/>
        <w:rPr>
          <w:sz w:val="18"/>
          <w:szCs w:val="18"/>
        </w:rPr>
      </w:pPr>
      <w:r>
        <w:rPr>
          <w:sz w:val="18"/>
          <w:szCs w:val="18"/>
        </w:rPr>
        <w:t xml:space="preserve">A request for further information on the proposed changes. </w:t>
      </w:r>
    </w:p>
    <w:p w:rsidR="000B4375" w:rsidRDefault="000B4375" w:rsidP="000B4375">
      <w:pPr>
        <w:pStyle w:val="Default"/>
        <w:numPr>
          <w:ilvl w:val="0"/>
          <w:numId w:val="34"/>
        </w:numPr>
        <w:spacing w:after="127"/>
        <w:rPr>
          <w:sz w:val="18"/>
          <w:szCs w:val="18"/>
        </w:rPr>
      </w:pPr>
      <w:r>
        <w:rPr>
          <w:sz w:val="18"/>
          <w:szCs w:val="18"/>
        </w:rPr>
        <w:t xml:space="preserve">A recommendation to reconsider the proposed amendments. </w:t>
      </w:r>
    </w:p>
    <w:p w:rsidR="000B4375" w:rsidRDefault="000B4375" w:rsidP="000B4375">
      <w:pPr>
        <w:pStyle w:val="Default"/>
        <w:numPr>
          <w:ilvl w:val="0"/>
          <w:numId w:val="34"/>
        </w:numPr>
        <w:spacing w:after="127"/>
        <w:rPr>
          <w:sz w:val="18"/>
          <w:szCs w:val="18"/>
        </w:rPr>
      </w:pPr>
      <w:r>
        <w:rPr>
          <w:sz w:val="18"/>
          <w:szCs w:val="18"/>
        </w:rPr>
        <w:t xml:space="preserve">An approval of the proposed changes. </w:t>
      </w:r>
    </w:p>
    <w:p w:rsidR="000B4375" w:rsidRDefault="000B4375" w:rsidP="000B4375">
      <w:pPr>
        <w:pStyle w:val="Default"/>
        <w:numPr>
          <w:ilvl w:val="0"/>
          <w:numId w:val="34"/>
        </w:numPr>
        <w:rPr>
          <w:sz w:val="18"/>
          <w:szCs w:val="18"/>
        </w:rPr>
      </w:pPr>
      <w:r>
        <w:rPr>
          <w:sz w:val="18"/>
          <w:szCs w:val="18"/>
        </w:rPr>
        <w:t xml:space="preserve">A revocation or modification of the Incentive Entitlement Certificate if the proposed amendments are not in line with the scope, terms and conditions of the scheme. </w:t>
      </w:r>
    </w:p>
    <w:p w:rsidR="000B4375" w:rsidRDefault="000B4375" w:rsidP="000B4375">
      <w:pPr>
        <w:pStyle w:val="Default"/>
        <w:rPr>
          <w:sz w:val="18"/>
          <w:szCs w:val="18"/>
        </w:rPr>
      </w:pPr>
    </w:p>
    <w:p w:rsidR="000B4375" w:rsidRDefault="000B4375" w:rsidP="000B4375">
      <w:pPr>
        <w:pStyle w:val="Default"/>
        <w:rPr>
          <w:sz w:val="18"/>
          <w:szCs w:val="18"/>
        </w:rPr>
      </w:pPr>
      <w:r>
        <w:rPr>
          <w:sz w:val="18"/>
          <w:szCs w:val="18"/>
        </w:rPr>
        <w:t>Failure to notify Malta Enterprise of any changes to the project as approved may result in Malta Enterprise revoking the Incentive Entitlement Certificate and claiming back any support received by the beneficiary.</w:t>
      </w:r>
    </w:p>
    <w:p w:rsidR="000B4375" w:rsidRPr="009F09FF" w:rsidRDefault="000B4375" w:rsidP="000B4375">
      <w:pPr>
        <w:pStyle w:val="Default"/>
        <w:spacing w:before="720" w:after="240"/>
        <w:rPr>
          <w:rFonts w:ascii="DINPro-Medium" w:hAnsi="DINPro-Medium"/>
          <w:sz w:val="23"/>
          <w:szCs w:val="23"/>
        </w:rPr>
      </w:pPr>
      <w:r w:rsidRPr="009F09FF">
        <w:rPr>
          <w:rFonts w:ascii="DINPro-Medium" w:hAnsi="DINPro-Medium"/>
          <w:bCs/>
          <w:sz w:val="23"/>
          <w:szCs w:val="23"/>
        </w:rPr>
        <w:t xml:space="preserve">2) </w:t>
      </w:r>
      <w:r w:rsidR="009F09FF">
        <w:rPr>
          <w:rFonts w:ascii="DINPro-Medium" w:hAnsi="DINPro-Medium"/>
          <w:bCs/>
          <w:sz w:val="23"/>
          <w:szCs w:val="23"/>
        </w:rPr>
        <w:tab/>
      </w:r>
      <w:r w:rsidRPr="009F09FF">
        <w:rPr>
          <w:rFonts w:ascii="DINPro-Medium" w:hAnsi="DINPro-Medium"/>
          <w:bCs/>
          <w:sz w:val="23"/>
          <w:szCs w:val="23"/>
        </w:rPr>
        <w:t xml:space="preserve">Monitoring </w:t>
      </w:r>
    </w:p>
    <w:p w:rsidR="000B4375" w:rsidRDefault="000B4375" w:rsidP="000B4375">
      <w:pPr>
        <w:pStyle w:val="Default"/>
        <w:rPr>
          <w:sz w:val="18"/>
          <w:szCs w:val="18"/>
        </w:rPr>
      </w:pPr>
      <w:r>
        <w:rPr>
          <w:sz w:val="18"/>
          <w:szCs w:val="18"/>
        </w:rPr>
        <w:t xml:space="preserve">Successful applicants will be subject to monitoring to ensure that the project is moving according to: </w:t>
      </w:r>
    </w:p>
    <w:p w:rsidR="000B4375" w:rsidRDefault="000B4375" w:rsidP="000B4375">
      <w:pPr>
        <w:pStyle w:val="Default"/>
        <w:spacing w:after="129"/>
        <w:rPr>
          <w:sz w:val="18"/>
          <w:szCs w:val="18"/>
        </w:rPr>
      </w:pPr>
      <w:r>
        <w:rPr>
          <w:sz w:val="18"/>
          <w:szCs w:val="18"/>
        </w:rPr>
        <w:t xml:space="preserve">the milestone schedule (if applicable); </w:t>
      </w:r>
    </w:p>
    <w:p w:rsidR="000B4375" w:rsidRDefault="000B4375" w:rsidP="000B4375">
      <w:pPr>
        <w:pStyle w:val="Default"/>
        <w:numPr>
          <w:ilvl w:val="0"/>
          <w:numId w:val="35"/>
        </w:numPr>
        <w:spacing w:after="129"/>
        <w:rPr>
          <w:sz w:val="18"/>
          <w:szCs w:val="18"/>
        </w:rPr>
      </w:pPr>
      <w:r>
        <w:rPr>
          <w:sz w:val="18"/>
          <w:szCs w:val="18"/>
        </w:rPr>
        <w:t>the milestone schedule (if applicable);</w:t>
      </w:r>
    </w:p>
    <w:p w:rsidR="000B4375" w:rsidRDefault="000B4375" w:rsidP="000B4375">
      <w:pPr>
        <w:pStyle w:val="Default"/>
        <w:numPr>
          <w:ilvl w:val="0"/>
          <w:numId w:val="35"/>
        </w:numPr>
        <w:spacing w:after="129"/>
        <w:rPr>
          <w:sz w:val="18"/>
          <w:szCs w:val="18"/>
        </w:rPr>
      </w:pPr>
      <w:r>
        <w:rPr>
          <w:sz w:val="18"/>
          <w:szCs w:val="18"/>
        </w:rPr>
        <w:t xml:space="preserve">the Incentive Entitlement Certificate; </w:t>
      </w:r>
    </w:p>
    <w:p w:rsidR="000B4375" w:rsidRDefault="000B4375" w:rsidP="000B4375">
      <w:pPr>
        <w:pStyle w:val="Default"/>
        <w:numPr>
          <w:ilvl w:val="0"/>
          <w:numId w:val="35"/>
        </w:numPr>
        <w:spacing w:after="129"/>
        <w:rPr>
          <w:sz w:val="18"/>
          <w:szCs w:val="18"/>
        </w:rPr>
      </w:pPr>
      <w:r>
        <w:rPr>
          <w:sz w:val="18"/>
          <w:szCs w:val="18"/>
        </w:rPr>
        <w:t xml:space="preserve">this Guideline and the Regulation relevant to the incentive; </w:t>
      </w:r>
    </w:p>
    <w:p w:rsidR="000B4375" w:rsidRDefault="000B4375" w:rsidP="000B4375">
      <w:pPr>
        <w:pStyle w:val="Default"/>
        <w:numPr>
          <w:ilvl w:val="0"/>
          <w:numId w:val="35"/>
        </w:numPr>
        <w:spacing w:after="129"/>
        <w:rPr>
          <w:sz w:val="18"/>
          <w:szCs w:val="18"/>
        </w:rPr>
      </w:pPr>
      <w:r>
        <w:rPr>
          <w:sz w:val="18"/>
          <w:szCs w:val="18"/>
        </w:rPr>
        <w:t xml:space="preserve">any applicable state aid obligations and regulations; </w:t>
      </w:r>
    </w:p>
    <w:p w:rsidR="000B4375" w:rsidRDefault="000B4375" w:rsidP="000B4375">
      <w:pPr>
        <w:pStyle w:val="Default"/>
        <w:numPr>
          <w:ilvl w:val="0"/>
          <w:numId w:val="35"/>
        </w:numPr>
        <w:spacing w:after="129"/>
        <w:rPr>
          <w:sz w:val="18"/>
          <w:szCs w:val="18"/>
        </w:rPr>
      </w:pPr>
      <w:r>
        <w:rPr>
          <w:sz w:val="18"/>
          <w:szCs w:val="18"/>
        </w:rPr>
        <w:t xml:space="preserve">any publicity obligations. </w:t>
      </w:r>
    </w:p>
    <w:p w:rsidR="000B4375" w:rsidRDefault="000B4375" w:rsidP="000B4375">
      <w:pPr>
        <w:pStyle w:val="Default"/>
        <w:rPr>
          <w:sz w:val="18"/>
          <w:szCs w:val="18"/>
        </w:rPr>
      </w:pPr>
    </w:p>
    <w:p w:rsidR="000B4375" w:rsidRDefault="000B4375" w:rsidP="000B4375">
      <w:pPr>
        <w:pStyle w:val="Default"/>
        <w:rPr>
          <w:sz w:val="18"/>
          <w:szCs w:val="18"/>
        </w:rPr>
      </w:pPr>
      <w:r>
        <w:rPr>
          <w:sz w:val="18"/>
          <w:szCs w:val="18"/>
        </w:rPr>
        <w:t xml:space="preserve">Monitoring visits will also ensure that all documentation is kept at the enterprise end. </w:t>
      </w:r>
    </w:p>
    <w:p w:rsidR="000B4375" w:rsidRPr="009F09FF" w:rsidRDefault="000B4375" w:rsidP="000B4375">
      <w:pPr>
        <w:pStyle w:val="Default"/>
        <w:spacing w:before="720" w:after="240"/>
        <w:rPr>
          <w:rFonts w:ascii="DINPro-Medium" w:hAnsi="DINPro-Medium"/>
          <w:sz w:val="23"/>
          <w:szCs w:val="23"/>
        </w:rPr>
      </w:pPr>
      <w:r w:rsidRPr="009F09FF">
        <w:rPr>
          <w:rFonts w:ascii="DINPro-Medium" w:hAnsi="DINPro-Medium"/>
          <w:bCs/>
          <w:sz w:val="23"/>
          <w:szCs w:val="23"/>
        </w:rPr>
        <w:t xml:space="preserve">3) </w:t>
      </w:r>
      <w:r w:rsidR="009F09FF" w:rsidRPr="009F09FF">
        <w:rPr>
          <w:rFonts w:ascii="DINPro-Medium" w:hAnsi="DINPro-Medium"/>
          <w:bCs/>
          <w:sz w:val="23"/>
          <w:szCs w:val="23"/>
        </w:rPr>
        <w:tab/>
      </w:r>
      <w:r w:rsidRPr="009F09FF">
        <w:rPr>
          <w:rFonts w:ascii="DINPro-Medium" w:hAnsi="DINPro-Medium"/>
          <w:bCs/>
          <w:sz w:val="23"/>
          <w:szCs w:val="23"/>
        </w:rPr>
        <w:t xml:space="preserve">On-Site Visits </w:t>
      </w:r>
    </w:p>
    <w:p w:rsidR="000B4375" w:rsidRDefault="000B4375" w:rsidP="000B4375">
      <w:pPr>
        <w:pStyle w:val="Default"/>
        <w:rPr>
          <w:sz w:val="18"/>
          <w:szCs w:val="18"/>
        </w:rPr>
      </w:pPr>
      <w:r>
        <w:rPr>
          <w:sz w:val="18"/>
          <w:szCs w:val="18"/>
        </w:rPr>
        <w:t xml:space="preserve">Malta Enterprise and other relative authorities may undertake a number of random on site checks to verify documentation submitted and the implementation. Site visit may entail assessing: </w:t>
      </w:r>
    </w:p>
    <w:p w:rsidR="000B4375" w:rsidRDefault="000B4375" w:rsidP="000B4375">
      <w:pPr>
        <w:pStyle w:val="Default"/>
        <w:rPr>
          <w:sz w:val="18"/>
          <w:szCs w:val="18"/>
        </w:rPr>
      </w:pPr>
    </w:p>
    <w:p w:rsidR="000B4375" w:rsidRDefault="000B4375" w:rsidP="000B4375">
      <w:pPr>
        <w:pStyle w:val="Default"/>
        <w:numPr>
          <w:ilvl w:val="0"/>
          <w:numId w:val="36"/>
        </w:numPr>
        <w:spacing w:after="127"/>
        <w:rPr>
          <w:sz w:val="18"/>
          <w:szCs w:val="18"/>
        </w:rPr>
      </w:pPr>
      <w:r>
        <w:rPr>
          <w:sz w:val="18"/>
          <w:szCs w:val="18"/>
        </w:rPr>
        <w:t xml:space="preserve">any required publicity obligations; </w:t>
      </w:r>
    </w:p>
    <w:p w:rsidR="000B4375" w:rsidRDefault="000B4375" w:rsidP="000B4375">
      <w:pPr>
        <w:pStyle w:val="Default"/>
        <w:numPr>
          <w:ilvl w:val="0"/>
          <w:numId w:val="36"/>
        </w:numPr>
        <w:rPr>
          <w:sz w:val="18"/>
          <w:szCs w:val="18"/>
        </w:rPr>
      </w:pPr>
      <w:r>
        <w:rPr>
          <w:sz w:val="18"/>
          <w:szCs w:val="18"/>
        </w:rPr>
        <w:t xml:space="preserve">originals / copies of the relevant administrative and financial documentation, are in line with the requirements set in the Incentive Entitlement Certificate and any relevant regulation cited in or annexed to the Incentive Entitlement Certificate. </w:t>
      </w:r>
    </w:p>
    <w:p w:rsidR="00C27F5A" w:rsidRDefault="00C27F5A" w:rsidP="00C27F5A">
      <w:pPr>
        <w:pStyle w:val="Default"/>
        <w:ind w:left="720"/>
        <w:rPr>
          <w:sz w:val="18"/>
          <w:szCs w:val="18"/>
        </w:rPr>
      </w:pPr>
    </w:p>
    <w:p w:rsidR="00C27F5A" w:rsidRDefault="00C27F5A" w:rsidP="00C27F5A">
      <w:pPr>
        <w:pStyle w:val="Default"/>
        <w:ind w:left="720"/>
        <w:rPr>
          <w:sz w:val="18"/>
          <w:szCs w:val="18"/>
        </w:rPr>
      </w:pPr>
    </w:p>
    <w:p w:rsidR="000B4375" w:rsidRDefault="000B4375" w:rsidP="000B4375">
      <w:pPr>
        <w:pStyle w:val="Default"/>
        <w:rPr>
          <w:sz w:val="18"/>
          <w:szCs w:val="18"/>
        </w:rPr>
      </w:pPr>
    </w:p>
    <w:p w:rsidR="000B4375" w:rsidRPr="009F09FF" w:rsidRDefault="000B4375" w:rsidP="000B4375">
      <w:pPr>
        <w:pStyle w:val="Default"/>
        <w:spacing w:before="720" w:after="240"/>
        <w:rPr>
          <w:rFonts w:ascii="DINPro-Medium" w:hAnsi="DINPro-Medium"/>
          <w:sz w:val="23"/>
          <w:szCs w:val="23"/>
        </w:rPr>
      </w:pPr>
      <w:r w:rsidRPr="009F09FF">
        <w:rPr>
          <w:rFonts w:ascii="DINPro-Medium" w:hAnsi="DINPro-Medium"/>
          <w:bCs/>
          <w:sz w:val="23"/>
          <w:szCs w:val="23"/>
        </w:rPr>
        <w:lastRenderedPageBreak/>
        <w:t xml:space="preserve">4) </w:t>
      </w:r>
      <w:r w:rsidR="009F09FF" w:rsidRPr="009F09FF">
        <w:rPr>
          <w:rFonts w:ascii="DINPro-Medium" w:hAnsi="DINPro-Medium"/>
          <w:bCs/>
          <w:sz w:val="23"/>
          <w:szCs w:val="23"/>
        </w:rPr>
        <w:tab/>
      </w:r>
      <w:r w:rsidRPr="009F09FF">
        <w:rPr>
          <w:rFonts w:ascii="DINPro-Medium" w:hAnsi="DINPro-Medium"/>
          <w:bCs/>
          <w:sz w:val="23"/>
          <w:szCs w:val="23"/>
        </w:rPr>
        <w:t xml:space="preserve">Sanctions and recovery of aid </w:t>
      </w:r>
    </w:p>
    <w:p w:rsidR="00945688" w:rsidRPr="00945688" w:rsidRDefault="000B4375" w:rsidP="00945688">
      <w:pPr>
        <w:pStyle w:val="Default"/>
        <w:rPr>
          <w:sz w:val="18"/>
          <w:szCs w:val="18"/>
        </w:rPr>
      </w:pPr>
      <w:r>
        <w:rPr>
          <w:sz w:val="18"/>
          <w:szCs w:val="18"/>
        </w:rPr>
        <w:t xml:space="preserve">In terms of Part VII and Part VIII of the Malta Enterprise Act, Chapter 463 for the Laws of Malta, Malta Enterprise may revoke, amend or modify the Incentive Entitlement Certificate and apply penalties or request recovery of aid in the case of breach of these Guidelines or the conditions set down in the Incentive Entitlement Certificate and any relevant regulations. </w:t>
      </w:r>
      <w:r w:rsidR="00945688">
        <w:rPr>
          <w:sz w:val="18"/>
          <w:szCs w:val="18"/>
        </w:rPr>
        <w:t xml:space="preserve"> </w:t>
      </w:r>
      <w:r w:rsidR="00945688" w:rsidRPr="00945688">
        <w:rPr>
          <w:sz w:val="18"/>
          <w:szCs w:val="18"/>
        </w:rPr>
        <w:t>Aid approved by the Corporation will be suspended until that undertaking has reimbursed old</w:t>
      </w:r>
      <w:r w:rsidR="00945688">
        <w:rPr>
          <w:sz w:val="18"/>
          <w:szCs w:val="18"/>
        </w:rPr>
        <w:t>,</w:t>
      </w:r>
    </w:p>
    <w:p w:rsidR="00945688" w:rsidRPr="00945688" w:rsidRDefault="00945688" w:rsidP="00945688">
      <w:pPr>
        <w:pStyle w:val="Default"/>
        <w:rPr>
          <w:sz w:val="18"/>
          <w:szCs w:val="18"/>
        </w:rPr>
      </w:pPr>
      <w:r w:rsidRPr="00945688">
        <w:rPr>
          <w:sz w:val="18"/>
          <w:szCs w:val="18"/>
        </w:rPr>
        <w:t>unlawful and incompatible aid that is subject to a recovery decision.</w:t>
      </w:r>
    </w:p>
    <w:p w:rsidR="000B4375" w:rsidRPr="009F09FF" w:rsidRDefault="000B4375" w:rsidP="000B4375">
      <w:pPr>
        <w:pStyle w:val="Default"/>
        <w:spacing w:before="720" w:after="240"/>
        <w:rPr>
          <w:rFonts w:ascii="DINPro-Medium" w:hAnsi="DINPro-Medium"/>
          <w:sz w:val="23"/>
          <w:szCs w:val="23"/>
        </w:rPr>
      </w:pPr>
      <w:r w:rsidRPr="009F09FF">
        <w:rPr>
          <w:rFonts w:ascii="DINPro-Medium" w:hAnsi="DINPro-Medium"/>
          <w:bCs/>
          <w:sz w:val="23"/>
          <w:szCs w:val="23"/>
        </w:rPr>
        <w:t xml:space="preserve">5) </w:t>
      </w:r>
      <w:r w:rsidR="009F09FF">
        <w:rPr>
          <w:rFonts w:ascii="DINPro-Medium" w:hAnsi="DINPro-Medium"/>
          <w:bCs/>
          <w:sz w:val="23"/>
          <w:szCs w:val="23"/>
        </w:rPr>
        <w:tab/>
      </w:r>
      <w:r w:rsidRPr="009F09FF">
        <w:rPr>
          <w:rFonts w:ascii="DINPro-Medium" w:hAnsi="DINPro-Medium"/>
          <w:bCs/>
          <w:sz w:val="23"/>
          <w:szCs w:val="23"/>
        </w:rPr>
        <w:t xml:space="preserve">General Ineligible expenditure </w:t>
      </w:r>
    </w:p>
    <w:p w:rsidR="000B4375" w:rsidRDefault="000B4375" w:rsidP="000B4375">
      <w:pPr>
        <w:pStyle w:val="Default"/>
        <w:rPr>
          <w:sz w:val="18"/>
          <w:szCs w:val="18"/>
        </w:rPr>
      </w:pPr>
      <w:r>
        <w:rPr>
          <w:sz w:val="18"/>
          <w:szCs w:val="18"/>
        </w:rPr>
        <w:t>Any item of expenditure not aligned to the rationale of this measure will be deemed as in</w:t>
      </w:r>
      <w:r w:rsidR="009F09FF">
        <w:rPr>
          <w:sz w:val="18"/>
          <w:szCs w:val="18"/>
        </w:rPr>
        <w:t>eligible. The following is a non-</w:t>
      </w:r>
      <w:r>
        <w:rPr>
          <w:sz w:val="18"/>
          <w:szCs w:val="18"/>
        </w:rPr>
        <w:t xml:space="preserve">exhaustive list of such ineligible costs: </w:t>
      </w:r>
    </w:p>
    <w:p w:rsidR="00FD6F1D" w:rsidRDefault="00FD6F1D" w:rsidP="000B4375">
      <w:pPr>
        <w:pStyle w:val="Default"/>
        <w:rPr>
          <w:sz w:val="18"/>
          <w:szCs w:val="18"/>
        </w:rPr>
      </w:pPr>
    </w:p>
    <w:p w:rsidR="00FD6F1D" w:rsidRPr="00FD6F1D" w:rsidRDefault="000B4375" w:rsidP="00FD6F1D">
      <w:pPr>
        <w:pStyle w:val="Default"/>
        <w:numPr>
          <w:ilvl w:val="0"/>
          <w:numId w:val="38"/>
        </w:numPr>
        <w:spacing w:before="120"/>
        <w:rPr>
          <w:sz w:val="18"/>
          <w:szCs w:val="18"/>
        </w:rPr>
      </w:pPr>
      <w:r>
        <w:rPr>
          <w:sz w:val="18"/>
          <w:szCs w:val="18"/>
        </w:rPr>
        <w:t xml:space="preserve">cost incurred for the purchase of second hand equipment; </w:t>
      </w:r>
    </w:p>
    <w:p w:rsidR="00FD6F1D" w:rsidRDefault="00FD6F1D" w:rsidP="00FD6F1D">
      <w:pPr>
        <w:pStyle w:val="Default"/>
        <w:numPr>
          <w:ilvl w:val="0"/>
          <w:numId w:val="38"/>
        </w:numPr>
        <w:spacing w:before="120"/>
        <w:rPr>
          <w:sz w:val="18"/>
          <w:szCs w:val="18"/>
        </w:rPr>
      </w:pPr>
      <w:r>
        <w:rPr>
          <w:sz w:val="18"/>
          <w:szCs w:val="18"/>
        </w:rPr>
        <w:t xml:space="preserve">costs incurred prior to signature date of Incentive Entitlement Certificate; </w:t>
      </w:r>
    </w:p>
    <w:p w:rsidR="00FD6F1D" w:rsidRDefault="00FD6F1D" w:rsidP="00FD6F1D">
      <w:pPr>
        <w:pStyle w:val="Default"/>
        <w:numPr>
          <w:ilvl w:val="0"/>
          <w:numId w:val="38"/>
        </w:numPr>
        <w:spacing w:before="120"/>
        <w:rPr>
          <w:sz w:val="18"/>
          <w:szCs w:val="18"/>
        </w:rPr>
      </w:pPr>
      <w:r>
        <w:rPr>
          <w:sz w:val="18"/>
          <w:szCs w:val="18"/>
        </w:rPr>
        <w:t xml:space="preserve">overheads allocated or apportioned at rates materially in excess of those used for any similar work carried out by the applicant or above market prices; </w:t>
      </w:r>
    </w:p>
    <w:p w:rsidR="00FD6F1D" w:rsidRDefault="00FD6F1D" w:rsidP="00FD6F1D">
      <w:pPr>
        <w:pStyle w:val="Default"/>
        <w:numPr>
          <w:ilvl w:val="0"/>
          <w:numId w:val="38"/>
        </w:numPr>
        <w:spacing w:before="120"/>
        <w:rPr>
          <w:sz w:val="18"/>
          <w:szCs w:val="18"/>
        </w:rPr>
      </w:pPr>
      <w:r>
        <w:rPr>
          <w:sz w:val="18"/>
          <w:szCs w:val="18"/>
        </w:rPr>
        <w:t xml:space="preserve">contingencies and/or losses made by the applicant; </w:t>
      </w:r>
    </w:p>
    <w:p w:rsidR="00FD6F1D" w:rsidRDefault="00FD6F1D" w:rsidP="00FD6F1D">
      <w:pPr>
        <w:pStyle w:val="Default"/>
        <w:numPr>
          <w:ilvl w:val="0"/>
          <w:numId w:val="38"/>
        </w:numPr>
        <w:spacing w:before="120"/>
        <w:rPr>
          <w:sz w:val="18"/>
          <w:szCs w:val="18"/>
        </w:rPr>
      </w:pPr>
      <w:r>
        <w:rPr>
          <w:sz w:val="18"/>
          <w:szCs w:val="18"/>
        </w:rPr>
        <w:t xml:space="preserve">the payment of dividends, royalty and interest charges; </w:t>
      </w:r>
    </w:p>
    <w:p w:rsidR="00FD6F1D" w:rsidRDefault="00FD6F1D" w:rsidP="00FD6F1D">
      <w:pPr>
        <w:pStyle w:val="Default"/>
        <w:numPr>
          <w:ilvl w:val="0"/>
          <w:numId w:val="38"/>
        </w:numPr>
        <w:spacing w:before="120"/>
        <w:rPr>
          <w:sz w:val="18"/>
          <w:szCs w:val="18"/>
        </w:rPr>
      </w:pPr>
      <w:r>
        <w:rPr>
          <w:sz w:val="18"/>
          <w:szCs w:val="18"/>
        </w:rPr>
        <w:t xml:space="preserve">service charges arising on finance leases, hire purchase and credit arrangements; </w:t>
      </w:r>
    </w:p>
    <w:p w:rsidR="00FD6F1D" w:rsidRDefault="00FD6F1D" w:rsidP="00FD6F1D">
      <w:pPr>
        <w:pStyle w:val="Default"/>
        <w:numPr>
          <w:ilvl w:val="0"/>
          <w:numId w:val="38"/>
        </w:numPr>
        <w:spacing w:before="120"/>
        <w:rPr>
          <w:sz w:val="18"/>
          <w:szCs w:val="18"/>
        </w:rPr>
      </w:pPr>
      <w:r>
        <w:rPr>
          <w:sz w:val="18"/>
          <w:szCs w:val="18"/>
        </w:rPr>
        <w:t xml:space="preserve">cost resulting from the deferral of payments to creditors; </w:t>
      </w:r>
    </w:p>
    <w:p w:rsidR="00FD6F1D" w:rsidRDefault="00FD6F1D" w:rsidP="00FD6F1D">
      <w:pPr>
        <w:pStyle w:val="Default"/>
        <w:numPr>
          <w:ilvl w:val="0"/>
          <w:numId w:val="38"/>
        </w:numPr>
        <w:spacing w:before="120"/>
        <w:rPr>
          <w:sz w:val="18"/>
          <w:szCs w:val="18"/>
        </w:rPr>
      </w:pPr>
      <w:r>
        <w:rPr>
          <w:sz w:val="18"/>
          <w:szCs w:val="18"/>
        </w:rPr>
        <w:t xml:space="preserve">costs involved in winding up a company; </w:t>
      </w:r>
    </w:p>
    <w:p w:rsidR="00FD6F1D" w:rsidRDefault="00FD6F1D" w:rsidP="00FD6F1D">
      <w:pPr>
        <w:pStyle w:val="Default"/>
        <w:numPr>
          <w:ilvl w:val="0"/>
          <w:numId w:val="38"/>
        </w:numPr>
        <w:spacing w:before="120"/>
        <w:rPr>
          <w:sz w:val="18"/>
          <w:szCs w:val="18"/>
        </w:rPr>
      </w:pPr>
      <w:r>
        <w:rPr>
          <w:sz w:val="18"/>
          <w:szCs w:val="18"/>
        </w:rPr>
        <w:t xml:space="preserve">cost related to litigation including any resulting claims for damages or fines; </w:t>
      </w:r>
    </w:p>
    <w:p w:rsidR="00FD6F1D" w:rsidRDefault="00FD6F1D" w:rsidP="00FD6F1D">
      <w:pPr>
        <w:pStyle w:val="Default"/>
        <w:numPr>
          <w:ilvl w:val="0"/>
          <w:numId w:val="38"/>
        </w:numPr>
        <w:spacing w:before="120"/>
        <w:rPr>
          <w:sz w:val="18"/>
          <w:szCs w:val="18"/>
        </w:rPr>
      </w:pPr>
      <w:r>
        <w:rPr>
          <w:sz w:val="18"/>
          <w:szCs w:val="18"/>
        </w:rPr>
        <w:t xml:space="preserve">insurance and indemnity costs; </w:t>
      </w:r>
    </w:p>
    <w:p w:rsidR="00FD6F1D" w:rsidRDefault="00FD6F1D" w:rsidP="00FD6F1D">
      <w:pPr>
        <w:pStyle w:val="Default"/>
        <w:numPr>
          <w:ilvl w:val="0"/>
          <w:numId w:val="38"/>
        </w:numPr>
        <w:spacing w:before="120"/>
        <w:rPr>
          <w:sz w:val="18"/>
          <w:szCs w:val="18"/>
        </w:rPr>
      </w:pPr>
      <w:r>
        <w:rPr>
          <w:sz w:val="18"/>
          <w:szCs w:val="18"/>
        </w:rPr>
        <w:t xml:space="preserve">bad debts; </w:t>
      </w:r>
    </w:p>
    <w:p w:rsidR="00FD6F1D" w:rsidRDefault="00FD6F1D" w:rsidP="00FD6F1D">
      <w:pPr>
        <w:pStyle w:val="Default"/>
        <w:numPr>
          <w:ilvl w:val="0"/>
          <w:numId w:val="38"/>
        </w:numPr>
        <w:spacing w:before="120"/>
        <w:rPr>
          <w:sz w:val="18"/>
          <w:szCs w:val="18"/>
        </w:rPr>
      </w:pPr>
      <w:r>
        <w:rPr>
          <w:sz w:val="18"/>
          <w:szCs w:val="18"/>
        </w:rPr>
        <w:t xml:space="preserve">payments for gifts and donations; </w:t>
      </w:r>
    </w:p>
    <w:p w:rsidR="00FD6F1D" w:rsidRDefault="00FD6F1D" w:rsidP="00FD6F1D">
      <w:pPr>
        <w:pStyle w:val="Default"/>
        <w:numPr>
          <w:ilvl w:val="0"/>
          <w:numId w:val="38"/>
        </w:numPr>
        <w:spacing w:before="120"/>
        <w:rPr>
          <w:sz w:val="18"/>
          <w:szCs w:val="18"/>
        </w:rPr>
      </w:pPr>
      <w:r>
        <w:rPr>
          <w:sz w:val="18"/>
          <w:szCs w:val="18"/>
        </w:rPr>
        <w:t xml:space="preserve">entertainment (including catering, receptions etc.);  </w:t>
      </w:r>
    </w:p>
    <w:p w:rsidR="00FD6F1D" w:rsidRDefault="00FD6F1D" w:rsidP="00FD6F1D">
      <w:pPr>
        <w:pStyle w:val="Default"/>
        <w:numPr>
          <w:ilvl w:val="0"/>
          <w:numId w:val="38"/>
        </w:numPr>
        <w:spacing w:before="120"/>
        <w:rPr>
          <w:sz w:val="18"/>
          <w:szCs w:val="18"/>
        </w:rPr>
      </w:pPr>
      <w:r>
        <w:rPr>
          <w:sz w:val="18"/>
          <w:szCs w:val="18"/>
        </w:rPr>
        <w:t xml:space="preserve">tax (VAT, Income tax);  </w:t>
      </w:r>
    </w:p>
    <w:p w:rsidR="00FD6F1D" w:rsidRDefault="00FD6F1D" w:rsidP="00FD6F1D">
      <w:pPr>
        <w:pStyle w:val="Default"/>
        <w:numPr>
          <w:ilvl w:val="0"/>
          <w:numId w:val="38"/>
        </w:numPr>
        <w:spacing w:before="120"/>
        <w:rPr>
          <w:sz w:val="18"/>
          <w:szCs w:val="18"/>
        </w:rPr>
      </w:pPr>
      <w:r>
        <w:rPr>
          <w:sz w:val="18"/>
          <w:szCs w:val="18"/>
        </w:rPr>
        <w:t>statutory fines and penalties.</w:t>
      </w:r>
    </w:p>
    <w:p w:rsidR="00D606D7" w:rsidRDefault="00D606D7" w:rsidP="00D523DC"/>
    <w:p w:rsidR="002F119F" w:rsidRDefault="002F119F" w:rsidP="00D523DC"/>
    <w:p w:rsidR="002F119F" w:rsidRDefault="002F119F" w:rsidP="00D523DC"/>
    <w:p w:rsidR="002F119F" w:rsidRDefault="002F119F" w:rsidP="00D523DC"/>
    <w:p w:rsidR="002F119F" w:rsidRDefault="002F119F" w:rsidP="00D523DC"/>
    <w:p w:rsidR="002F119F" w:rsidRDefault="002F119F" w:rsidP="00D523DC"/>
    <w:p w:rsidR="002F119F" w:rsidRDefault="002F119F" w:rsidP="00D523DC"/>
    <w:p w:rsidR="002F119F" w:rsidRDefault="002F119F" w:rsidP="00D523DC"/>
    <w:p w:rsidR="002F119F" w:rsidRDefault="002F119F" w:rsidP="00D523DC"/>
    <w:p w:rsidR="002F119F" w:rsidRDefault="002F119F" w:rsidP="00D523DC"/>
    <w:p w:rsidR="002F119F" w:rsidRDefault="002F119F" w:rsidP="00D523DC"/>
    <w:tbl>
      <w:tblPr>
        <w:tblW w:w="9180" w:type="dxa"/>
        <w:tblBorders>
          <w:top w:val="nil"/>
          <w:left w:val="nil"/>
          <w:bottom w:val="nil"/>
          <w:right w:val="nil"/>
        </w:tblBorders>
        <w:tblLayout w:type="fixed"/>
        <w:tblLook w:val="0000"/>
      </w:tblPr>
      <w:tblGrid>
        <w:gridCol w:w="1430"/>
        <w:gridCol w:w="1430"/>
        <w:gridCol w:w="1430"/>
        <w:gridCol w:w="496"/>
        <w:gridCol w:w="1559"/>
        <w:gridCol w:w="1418"/>
        <w:gridCol w:w="1417"/>
      </w:tblGrid>
      <w:tr w:rsidR="00C04844" w:rsidTr="009F09FF">
        <w:trPr>
          <w:trHeight w:val="851"/>
          <w:tblHeader/>
        </w:trPr>
        <w:tc>
          <w:tcPr>
            <w:tcW w:w="9180" w:type="dxa"/>
            <w:gridSpan w:val="7"/>
            <w:tcBorders>
              <w:bottom w:val="nil"/>
            </w:tcBorders>
          </w:tcPr>
          <w:p w:rsidR="00C04844" w:rsidRPr="009F09FF" w:rsidRDefault="00C27F5A" w:rsidP="002F119F">
            <w:pPr>
              <w:pStyle w:val="Default"/>
              <w:rPr>
                <w:rFonts w:ascii="DINPro-Medium" w:hAnsi="DINPro-Medium"/>
                <w:bCs/>
                <w:sz w:val="34"/>
                <w:szCs w:val="34"/>
              </w:rPr>
            </w:pPr>
            <w:r>
              <w:rPr>
                <w:rFonts w:ascii="DINPro-Medium" w:hAnsi="DINPro-Medium"/>
                <w:bCs/>
                <w:sz w:val="34"/>
                <w:szCs w:val="34"/>
              </w:rPr>
              <w:lastRenderedPageBreak/>
              <w:t>Annex 4 – Per Diem Rates</w:t>
            </w:r>
          </w:p>
          <w:p w:rsidR="00C04844" w:rsidRDefault="00C04844">
            <w:pPr>
              <w:pStyle w:val="Default"/>
              <w:rPr>
                <w:rFonts w:ascii="Verdana" w:hAnsi="Verdana" w:cs="Verdana"/>
                <w:sz w:val="16"/>
                <w:szCs w:val="16"/>
              </w:rPr>
            </w:pPr>
            <w:r>
              <w:rPr>
                <w:rFonts w:ascii="Verdana" w:hAnsi="Verdana" w:cs="Verdana"/>
                <w:sz w:val="16"/>
                <w:szCs w:val="16"/>
              </w:rPr>
              <w:t xml:space="preserve"> </w:t>
            </w:r>
          </w:p>
          <w:p w:rsidR="00C04844" w:rsidRDefault="00C04844">
            <w:pPr>
              <w:pStyle w:val="Default"/>
              <w:rPr>
                <w:rFonts w:ascii="Verdana" w:hAnsi="Verdana" w:cs="Verdana"/>
                <w:sz w:val="16"/>
                <w:szCs w:val="16"/>
              </w:rPr>
            </w:pPr>
            <w:r>
              <w:rPr>
                <w:rFonts w:ascii="Verdana" w:hAnsi="Verdana" w:cs="Verdana"/>
                <w:sz w:val="16"/>
                <w:szCs w:val="16"/>
              </w:rPr>
              <w:t xml:space="preserve"> </w:t>
            </w:r>
          </w:p>
        </w:tc>
      </w:tr>
      <w:tr w:rsidR="00222121" w:rsidTr="00222121">
        <w:trPr>
          <w:trHeight w:val="78"/>
        </w:trPr>
        <w:tc>
          <w:tcPr>
            <w:tcW w:w="9180" w:type="dxa"/>
            <w:gridSpan w:val="7"/>
            <w:tcBorders>
              <w:top w:val="nil"/>
              <w:left w:val="nil"/>
              <w:bottom w:val="nil"/>
              <w:right w:val="nil"/>
            </w:tcBorders>
          </w:tcPr>
          <w:p w:rsidR="00222121" w:rsidRPr="009F09FF" w:rsidRDefault="00C27F5A" w:rsidP="002F119F">
            <w:pPr>
              <w:pStyle w:val="Default"/>
              <w:rPr>
                <w:rFonts w:ascii="DINPro-Medium" w:hAnsi="DINPro-Medium" w:cs="Verdana"/>
                <w:sz w:val="28"/>
                <w:szCs w:val="28"/>
              </w:rPr>
            </w:pPr>
            <w:r>
              <w:rPr>
                <w:rFonts w:ascii="DINPro-Medium" w:hAnsi="DINPro-Medium"/>
                <w:bCs/>
                <w:sz w:val="28"/>
                <w:szCs w:val="28"/>
              </w:rPr>
              <w:t>Per diem rates per country e</w:t>
            </w:r>
            <w:r w:rsidR="00222121" w:rsidRPr="009F09FF">
              <w:rPr>
                <w:rFonts w:ascii="DINPro-Medium" w:hAnsi="DINPro-Medium"/>
                <w:bCs/>
                <w:sz w:val="28"/>
                <w:szCs w:val="28"/>
              </w:rPr>
              <w:t>ffective till 14</w:t>
            </w:r>
            <w:r w:rsidR="00222121" w:rsidRPr="009F09FF">
              <w:rPr>
                <w:rFonts w:ascii="DINPro-Medium" w:hAnsi="DINPro-Medium"/>
                <w:bCs/>
                <w:sz w:val="28"/>
                <w:szCs w:val="28"/>
                <w:vertAlign w:val="superscript"/>
              </w:rPr>
              <w:t>th</w:t>
            </w:r>
            <w:r w:rsidR="00222121" w:rsidRPr="009F09FF">
              <w:rPr>
                <w:rFonts w:ascii="DINPro-Medium" w:hAnsi="DINPro-Medium"/>
                <w:bCs/>
                <w:sz w:val="28"/>
                <w:szCs w:val="28"/>
              </w:rPr>
              <w:t xml:space="preserve"> April 2011 </w:t>
            </w:r>
          </w:p>
          <w:p w:rsidR="00222121" w:rsidRDefault="00222121" w:rsidP="002F119F">
            <w:pPr>
              <w:pStyle w:val="Default"/>
              <w:rPr>
                <w:rFonts w:ascii="Verdana" w:hAnsi="Verdana" w:cs="Verdana"/>
                <w:sz w:val="16"/>
                <w:szCs w:val="16"/>
              </w:rPr>
            </w:pPr>
          </w:p>
        </w:tc>
      </w:tr>
      <w:tr w:rsidR="00222121" w:rsidTr="009F09FF">
        <w:trPr>
          <w:trHeight w:val="78"/>
        </w:trPr>
        <w:tc>
          <w:tcPr>
            <w:tcW w:w="1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21" w:rsidRDefault="00222121" w:rsidP="00F77979">
            <w:pPr>
              <w:pStyle w:val="Default"/>
              <w:rPr>
                <w:rFonts w:ascii="Verdana" w:hAnsi="Verdana" w:cs="Verdana"/>
                <w:sz w:val="16"/>
                <w:szCs w:val="16"/>
              </w:rPr>
            </w:pPr>
            <w:r>
              <w:rPr>
                <w:rFonts w:ascii="Verdana" w:hAnsi="Verdana" w:cs="Verdana"/>
                <w:sz w:val="16"/>
                <w:szCs w:val="16"/>
              </w:rPr>
              <w:t>Country</w:t>
            </w:r>
          </w:p>
        </w:tc>
        <w:tc>
          <w:tcPr>
            <w:tcW w:w="1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2121" w:rsidRDefault="00222121" w:rsidP="002F119F">
            <w:pPr>
              <w:pStyle w:val="Default"/>
              <w:rPr>
                <w:rFonts w:ascii="Verdana" w:hAnsi="Verdana" w:cs="Verdana"/>
                <w:sz w:val="16"/>
                <w:szCs w:val="16"/>
              </w:rPr>
            </w:pPr>
            <w:r>
              <w:rPr>
                <w:rFonts w:ascii="Verdana" w:hAnsi="Verdana" w:cs="Verdana"/>
                <w:sz w:val="16"/>
                <w:szCs w:val="16"/>
              </w:rPr>
              <w:t xml:space="preserve">Official Per </w:t>
            </w:r>
          </w:p>
          <w:p w:rsidR="00222121" w:rsidRDefault="00222121" w:rsidP="002F119F">
            <w:pPr>
              <w:pStyle w:val="Default"/>
              <w:rPr>
                <w:rFonts w:ascii="Verdana" w:hAnsi="Verdana" w:cs="Verdana"/>
                <w:sz w:val="16"/>
                <w:szCs w:val="16"/>
              </w:rPr>
            </w:pPr>
            <w:r>
              <w:rPr>
                <w:rFonts w:ascii="Verdana" w:hAnsi="Verdana" w:cs="Verdana"/>
                <w:sz w:val="16"/>
                <w:szCs w:val="16"/>
              </w:rPr>
              <w:t xml:space="preserve">diem rate </w:t>
            </w:r>
            <w:r w:rsidR="00F77979">
              <w:rPr>
                <w:rFonts w:ascii="Verdana" w:hAnsi="Verdana" w:cs="Verdana"/>
                <w:sz w:val="16"/>
                <w:szCs w:val="16"/>
              </w:rPr>
              <w:t>(</w:t>
            </w:r>
            <w:r>
              <w:rPr>
                <w:rFonts w:ascii="Verdana" w:hAnsi="Verdana" w:cs="Verdana"/>
                <w:sz w:val="16"/>
                <w:szCs w:val="16"/>
              </w:rPr>
              <w:t>€</w:t>
            </w:r>
            <w:r w:rsidR="00F77979">
              <w:rPr>
                <w:rFonts w:ascii="Verdana" w:hAnsi="Verdana" w:cs="Verdana"/>
                <w:sz w:val="16"/>
                <w:szCs w:val="16"/>
              </w:rPr>
              <w:t>)</w:t>
            </w:r>
          </w:p>
        </w:tc>
        <w:tc>
          <w:tcPr>
            <w:tcW w:w="1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21" w:rsidRDefault="00222121" w:rsidP="00F77979">
            <w:pPr>
              <w:pStyle w:val="Default"/>
              <w:rPr>
                <w:rFonts w:ascii="Verdana" w:hAnsi="Verdana" w:cs="Verdana"/>
                <w:sz w:val="16"/>
                <w:szCs w:val="16"/>
              </w:rPr>
            </w:pPr>
            <w:r>
              <w:rPr>
                <w:rFonts w:ascii="Verdana" w:hAnsi="Verdana" w:cs="Verdana"/>
                <w:sz w:val="16"/>
                <w:szCs w:val="16"/>
              </w:rPr>
              <w:t xml:space="preserve">60% financing </w:t>
            </w:r>
          </w:p>
          <w:p w:rsidR="00222121" w:rsidRDefault="00F77979" w:rsidP="00F77979">
            <w:pPr>
              <w:pStyle w:val="Default"/>
              <w:rPr>
                <w:rFonts w:ascii="Verdana" w:hAnsi="Verdana" w:cs="Verdana"/>
                <w:sz w:val="16"/>
                <w:szCs w:val="16"/>
              </w:rPr>
            </w:pPr>
            <w:r>
              <w:rPr>
                <w:rFonts w:ascii="Verdana" w:hAnsi="Verdana" w:cs="Verdana"/>
                <w:sz w:val="16"/>
                <w:szCs w:val="16"/>
              </w:rPr>
              <w:t>(</w:t>
            </w:r>
            <w:r w:rsidR="00222121">
              <w:rPr>
                <w:rFonts w:ascii="Verdana" w:hAnsi="Verdana" w:cs="Verdana"/>
                <w:sz w:val="16"/>
                <w:szCs w:val="16"/>
              </w:rPr>
              <w:t>€</w:t>
            </w:r>
            <w:r w:rsidR="00B37F23">
              <w:rPr>
                <w:rFonts w:ascii="Verdana" w:hAnsi="Verdana" w:cs="Verdana"/>
                <w:sz w:val="16"/>
                <w:szCs w:val="16"/>
              </w:rPr>
              <w:t>)</w:t>
            </w:r>
          </w:p>
        </w:tc>
        <w:tc>
          <w:tcPr>
            <w:tcW w:w="496" w:type="dxa"/>
            <w:vMerge w:val="restart"/>
            <w:tcBorders>
              <w:top w:val="nil"/>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21" w:rsidRDefault="00222121" w:rsidP="00F77979">
            <w:pPr>
              <w:pStyle w:val="Default"/>
              <w:rPr>
                <w:rFonts w:ascii="Verdana" w:hAnsi="Verdana" w:cs="Verdana"/>
                <w:sz w:val="16"/>
                <w:szCs w:val="16"/>
              </w:rPr>
            </w:pPr>
            <w:r>
              <w:rPr>
                <w:rFonts w:ascii="Verdana" w:hAnsi="Verdana" w:cs="Verdana"/>
                <w:sz w:val="16"/>
                <w:szCs w:val="16"/>
              </w:rPr>
              <w:t>Country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2121" w:rsidRDefault="00222121" w:rsidP="002F119F">
            <w:pPr>
              <w:pStyle w:val="Default"/>
              <w:rPr>
                <w:rFonts w:ascii="Verdana" w:hAnsi="Verdana" w:cs="Verdana"/>
                <w:sz w:val="16"/>
                <w:szCs w:val="16"/>
              </w:rPr>
            </w:pPr>
            <w:r>
              <w:rPr>
                <w:rFonts w:ascii="Verdana" w:hAnsi="Verdana" w:cs="Verdana"/>
                <w:sz w:val="16"/>
                <w:szCs w:val="16"/>
              </w:rPr>
              <w:t xml:space="preserve">Official Per </w:t>
            </w:r>
          </w:p>
          <w:p w:rsidR="00222121" w:rsidRDefault="00222121" w:rsidP="002F119F">
            <w:pPr>
              <w:pStyle w:val="Default"/>
              <w:rPr>
                <w:rFonts w:ascii="Verdana" w:hAnsi="Verdana" w:cs="Verdana"/>
                <w:sz w:val="16"/>
                <w:szCs w:val="16"/>
              </w:rPr>
            </w:pPr>
            <w:r>
              <w:rPr>
                <w:rFonts w:ascii="Verdana" w:hAnsi="Verdana" w:cs="Verdana"/>
                <w:sz w:val="16"/>
                <w:szCs w:val="16"/>
              </w:rPr>
              <w:t xml:space="preserve">diem rate </w:t>
            </w:r>
            <w:r w:rsidR="00B37F23">
              <w:rPr>
                <w:rFonts w:ascii="Verdana" w:hAnsi="Verdana" w:cs="Verdana"/>
                <w:sz w:val="16"/>
                <w:szCs w:val="16"/>
              </w:rPr>
              <w:t>(</w:t>
            </w:r>
            <w:r>
              <w:rPr>
                <w:rFonts w:ascii="Verdana" w:hAnsi="Verdana" w:cs="Verdana"/>
                <w:sz w:val="16"/>
                <w:szCs w:val="16"/>
              </w:rPr>
              <w:t>€</w:t>
            </w:r>
            <w:r w:rsidR="00B37F23">
              <w:rPr>
                <w:rFonts w:ascii="Verdana" w:hAnsi="Verdana" w:cs="Verdana"/>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21" w:rsidRDefault="00222121" w:rsidP="00F77979">
            <w:pPr>
              <w:pStyle w:val="Default"/>
              <w:rPr>
                <w:rFonts w:ascii="Verdana" w:hAnsi="Verdana" w:cs="Verdana"/>
                <w:sz w:val="16"/>
                <w:szCs w:val="16"/>
              </w:rPr>
            </w:pPr>
            <w:r>
              <w:rPr>
                <w:rFonts w:ascii="Verdana" w:hAnsi="Verdana" w:cs="Verdana"/>
                <w:sz w:val="16"/>
                <w:szCs w:val="16"/>
              </w:rPr>
              <w:t xml:space="preserve">60% financing </w:t>
            </w:r>
          </w:p>
          <w:p w:rsidR="00222121" w:rsidRDefault="00B37F23" w:rsidP="00F77979">
            <w:pPr>
              <w:pStyle w:val="Default"/>
              <w:rPr>
                <w:rFonts w:ascii="Verdana" w:hAnsi="Verdana" w:cs="Verdana"/>
                <w:sz w:val="16"/>
                <w:szCs w:val="16"/>
              </w:rPr>
            </w:pPr>
            <w:r>
              <w:rPr>
                <w:rFonts w:ascii="Verdana" w:hAnsi="Verdana" w:cs="Verdana"/>
                <w:sz w:val="16"/>
                <w:szCs w:val="16"/>
              </w:rPr>
              <w:t>(</w:t>
            </w:r>
            <w:r w:rsidR="00222121">
              <w:rPr>
                <w:rFonts w:ascii="Verdana" w:hAnsi="Verdana" w:cs="Verdana"/>
                <w:sz w:val="16"/>
                <w:szCs w:val="16"/>
              </w:rPr>
              <w:t>€</w:t>
            </w:r>
            <w:r>
              <w:rPr>
                <w:rFonts w:ascii="Verdana" w:hAnsi="Verdana" w:cs="Verdana"/>
                <w:sz w:val="16"/>
                <w:szCs w:val="16"/>
              </w:rPr>
              <w:t>)</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Albania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217.00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130.20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Latvia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211.00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126.60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Algeria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270.00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162.00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Lebanon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218.00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130.80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Argentina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212.00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127.20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Libya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141.00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84.60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Australia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212.00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127.20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Lithuania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183.00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109.80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Austria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225.00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135.00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Luxembourg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237.00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142.20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Bahamas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194.00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116.40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Malaysia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131.00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78.60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Bahrain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215.00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129.00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Mexico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207.00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124.20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Bangladesh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181.00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108.60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Monaco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288.00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172.80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Belgium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242.00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145.20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Morocco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147.00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88.20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sz w:val="16"/>
                <w:szCs w:val="16"/>
              </w:rPr>
            </w:pPr>
            <w:r>
              <w:rPr>
                <w:rFonts w:ascii="Verdana" w:hAnsi="Verdana" w:cs="Verdana"/>
                <w:sz w:val="16"/>
                <w:szCs w:val="16"/>
              </w:rPr>
              <w:t xml:space="preserve">Bosnia-Herzergovina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sz w:val="16"/>
                <w:szCs w:val="16"/>
              </w:rPr>
            </w:pPr>
            <w:r>
              <w:rPr>
                <w:rFonts w:ascii="Verdana" w:hAnsi="Verdana" w:cs="Verdana"/>
                <w:sz w:val="16"/>
                <w:szCs w:val="16"/>
              </w:rPr>
              <w:t xml:space="preserve">143.00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85.80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Netherlands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263.00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157.80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Brazil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160.00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96.00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New Zealand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184.00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110.40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Bulgaria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227.00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136.20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Nigeria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261.00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156.60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Canada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217.00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130.20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Norway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219.00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131.40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Chile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154.00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92.40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Oman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200.00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120.00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China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162.00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97.20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Pakistan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205.00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sz w:val="16"/>
                <w:szCs w:val="16"/>
              </w:rPr>
            </w:pPr>
            <w:r>
              <w:rPr>
                <w:rFonts w:ascii="Verdana" w:hAnsi="Verdana" w:cs="Verdana"/>
                <w:sz w:val="16"/>
                <w:szCs w:val="16"/>
              </w:rPr>
              <w:t xml:space="preserve">123.00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Colombia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174.00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104.40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Philippines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144.00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86.40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Croatia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222.00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133.20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Poland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217.00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130.20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Cuba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131.00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78.60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Portugal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204.00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122.40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Cyprus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238.00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142.8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Qatar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252.00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151.20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Czech Republic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230.00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138.00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Romania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222.00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133.20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Denmark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270.00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sz w:val="16"/>
                <w:szCs w:val="16"/>
              </w:rPr>
            </w:pPr>
            <w:r>
              <w:rPr>
                <w:rFonts w:ascii="Verdana" w:hAnsi="Verdana" w:cs="Verdana"/>
                <w:sz w:val="16"/>
                <w:szCs w:val="16"/>
              </w:rPr>
              <w:t xml:space="preserve">162.00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Russian Federation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303.00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181.80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Egypt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171.00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102.60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Saudi Arabia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227.00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136.20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Estonia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181.00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108.60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Singapore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272.00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163.20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Ethiopia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227.00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136.20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Slovakia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205.00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123.00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Finland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244.00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146.40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Slovenia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180.00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108.00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France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245.00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147.00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sz w:val="16"/>
                <w:szCs w:val="16"/>
              </w:rPr>
            </w:pPr>
            <w:r>
              <w:rPr>
                <w:rFonts w:ascii="Verdana" w:hAnsi="Verdana" w:cs="Verdana"/>
                <w:sz w:val="16"/>
                <w:szCs w:val="16"/>
              </w:rPr>
              <w:t xml:space="preserve">Somalia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54.00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32.40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Georgia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249.00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149.40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South Africa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172.00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103.20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Germany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208.00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124.80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Spain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212.00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127.20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Ghana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170.00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102.00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Sri Lanka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95.00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57.00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Greece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222.00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133.20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Sweden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257.00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154.20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Hungary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222.00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133.20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Switzerland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254.00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152.40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Iceland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122.00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73.20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Syria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242.00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145.20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India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224.00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134.40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Tanzania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180.00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108.00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Indonesia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97.00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58.20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Thailand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146.00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87.60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Ireland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254.00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152.40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Tunisia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145.00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87.00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Israel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272.00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163.20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Turkey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121.00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72.60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Italy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230.00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138.00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Ukraine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318.00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sz w:val="16"/>
                <w:szCs w:val="16"/>
              </w:rPr>
            </w:pPr>
            <w:r>
              <w:rPr>
                <w:rFonts w:ascii="Verdana" w:hAnsi="Verdana" w:cs="Verdana"/>
                <w:sz w:val="16"/>
                <w:szCs w:val="16"/>
              </w:rPr>
              <w:t xml:space="preserve">190.80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Jamaica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131.00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78.60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United Arab Emirates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302.00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181.20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Japan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239.00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143.40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United Kingdom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276.00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165.60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Jordan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204.00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122.40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Uruguay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154.00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92.40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Kenya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172.00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103.20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USA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243.00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145.80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Korea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196.00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117.60 </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Venezuela </w:t>
            </w: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313.00 </w:t>
            </w: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187.80 </w:t>
            </w:r>
          </w:p>
        </w:tc>
      </w:tr>
      <w:tr w:rsidR="00222121" w:rsidTr="00B37F23">
        <w:trPr>
          <w:trHeight w:val="78"/>
        </w:trPr>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 xml:space="preserve">Kuwait </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213.00</w:t>
            </w:r>
          </w:p>
        </w:tc>
        <w:tc>
          <w:tcPr>
            <w:tcW w:w="1430"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r>
              <w:rPr>
                <w:rFonts w:ascii="Verdana" w:hAnsi="Verdana" w:cs="Verdana"/>
                <w:sz w:val="16"/>
                <w:szCs w:val="16"/>
              </w:rPr>
              <w:t>127.80</w:t>
            </w:r>
          </w:p>
        </w:tc>
        <w:tc>
          <w:tcPr>
            <w:tcW w:w="496" w:type="dxa"/>
            <w:vMerge/>
            <w:tcBorders>
              <w:left w:val="single" w:sz="4" w:space="0" w:color="auto"/>
              <w:bottom w:val="nil"/>
              <w:right w:val="single" w:sz="4" w:space="0" w:color="auto"/>
            </w:tcBorders>
          </w:tcPr>
          <w:p w:rsidR="00222121" w:rsidRDefault="00222121">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222121" w:rsidRDefault="00222121">
            <w:pPr>
              <w:pStyle w:val="Default"/>
              <w:rPr>
                <w:rFonts w:ascii="Verdana" w:hAnsi="Verdana" w:cs="Verdana"/>
                <w:sz w:val="16"/>
                <w:szCs w:val="16"/>
              </w:rPr>
            </w:pPr>
          </w:p>
        </w:tc>
      </w:tr>
    </w:tbl>
    <w:p w:rsidR="002F119F" w:rsidRDefault="002F119F" w:rsidP="00D523DC"/>
    <w:p w:rsidR="00C04844" w:rsidRDefault="00C04844" w:rsidP="00D523DC"/>
    <w:p w:rsidR="00C04844" w:rsidRDefault="00C04844" w:rsidP="00D523DC"/>
    <w:p w:rsidR="00B37F23" w:rsidRDefault="00B37F23" w:rsidP="00D523DC"/>
    <w:p w:rsidR="00C04844" w:rsidRDefault="00C04844" w:rsidP="00D523DC"/>
    <w:tbl>
      <w:tblPr>
        <w:tblW w:w="8897" w:type="dxa"/>
        <w:tblBorders>
          <w:top w:val="nil"/>
          <w:left w:val="nil"/>
          <w:bottom w:val="nil"/>
          <w:right w:val="nil"/>
        </w:tblBorders>
        <w:tblLayout w:type="fixed"/>
        <w:tblLook w:val="0000"/>
      </w:tblPr>
      <w:tblGrid>
        <w:gridCol w:w="1430"/>
        <w:gridCol w:w="1230"/>
        <w:gridCol w:w="1276"/>
        <w:gridCol w:w="850"/>
        <w:gridCol w:w="1559"/>
        <w:gridCol w:w="1276"/>
        <w:gridCol w:w="1276"/>
      </w:tblGrid>
      <w:tr w:rsidR="00C04844" w:rsidTr="00C04844">
        <w:trPr>
          <w:trHeight w:val="426"/>
        </w:trPr>
        <w:tc>
          <w:tcPr>
            <w:tcW w:w="8897" w:type="dxa"/>
            <w:gridSpan w:val="7"/>
            <w:tcBorders>
              <w:bottom w:val="nil"/>
            </w:tcBorders>
          </w:tcPr>
          <w:p w:rsidR="00C27F5A" w:rsidRDefault="00C27F5A" w:rsidP="00C04844">
            <w:pPr>
              <w:pStyle w:val="Default"/>
              <w:rPr>
                <w:rFonts w:ascii="DINPro-Medium" w:hAnsi="DINPro-Medium"/>
                <w:bCs/>
                <w:sz w:val="28"/>
                <w:szCs w:val="28"/>
              </w:rPr>
            </w:pPr>
            <w:r w:rsidRPr="00C27F5A">
              <w:rPr>
                <w:rFonts w:ascii="DINPro-Medium" w:hAnsi="DINPro-Medium"/>
                <w:bCs/>
                <w:sz w:val="28"/>
                <w:szCs w:val="28"/>
              </w:rPr>
              <w:lastRenderedPageBreak/>
              <w:t>Per diem rates per country e</w:t>
            </w:r>
            <w:r w:rsidR="00C04844" w:rsidRPr="00C27F5A">
              <w:rPr>
                <w:rFonts w:ascii="DINPro-Medium" w:hAnsi="DINPro-Medium"/>
                <w:bCs/>
                <w:sz w:val="28"/>
                <w:szCs w:val="28"/>
              </w:rPr>
              <w:t>ffective as from 15</w:t>
            </w:r>
            <w:r w:rsidR="00C04844" w:rsidRPr="00C27F5A">
              <w:rPr>
                <w:rFonts w:ascii="DINPro-Medium" w:hAnsi="DINPro-Medium"/>
                <w:bCs/>
                <w:sz w:val="28"/>
                <w:szCs w:val="28"/>
                <w:vertAlign w:val="superscript"/>
              </w:rPr>
              <w:t>th</w:t>
            </w:r>
            <w:r w:rsidR="00C04844" w:rsidRPr="00C27F5A">
              <w:rPr>
                <w:rFonts w:ascii="DINPro-Medium" w:hAnsi="DINPro-Medium"/>
                <w:bCs/>
                <w:sz w:val="28"/>
                <w:szCs w:val="28"/>
              </w:rPr>
              <w:t xml:space="preserve"> April 2011 </w:t>
            </w:r>
            <w:r w:rsidR="008E0050" w:rsidRPr="00C27F5A">
              <w:rPr>
                <w:rFonts w:ascii="DINPro-Medium" w:hAnsi="DINPro-Medium"/>
                <w:bCs/>
                <w:sz w:val="28"/>
                <w:szCs w:val="28"/>
              </w:rPr>
              <w:t xml:space="preserve">till </w:t>
            </w:r>
          </w:p>
          <w:p w:rsidR="00C04844" w:rsidRPr="00C27F5A" w:rsidRDefault="008E0050" w:rsidP="00C04844">
            <w:pPr>
              <w:pStyle w:val="Default"/>
              <w:rPr>
                <w:rFonts w:ascii="DINPro-Medium" w:hAnsi="DINPro-Medium" w:cs="Verdana"/>
                <w:sz w:val="28"/>
                <w:szCs w:val="28"/>
              </w:rPr>
            </w:pPr>
            <w:r w:rsidRPr="00C27F5A">
              <w:rPr>
                <w:rFonts w:ascii="DINPro-Medium" w:hAnsi="DINPro-Medium"/>
                <w:bCs/>
                <w:sz w:val="28"/>
                <w:szCs w:val="28"/>
              </w:rPr>
              <w:t>31</w:t>
            </w:r>
            <w:r w:rsidRPr="00C27F5A">
              <w:rPr>
                <w:rFonts w:ascii="DINPro-Medium" w:hAnsi="DINPro-Medium"/>
                <w:bCs/>
                <w:sz w:val="28"/>
                <w:szCs w:val="28"/>
                <w:vertAlign w:val="superscript"/>
              </w:rPr>
              <w:t>st</w:t>
            </w:r>
            <w:r w:rsidRPr="00C27F5A">
              <w:rPr>
                <w:rFonts w:ascii="DINPro-Medium" w:hAnsi="DINPro-Medium"/>
                <w:bCs/>
                <w:sz w:val="28"/>
                <w:szCs w:val="28"/>
              </w:rPr>
              <w:t xml:space="preserve"> April 2012</w:t>
            </w:r>
          </w:p>
          <w:p w:rsidR="00C04844" w:rsidRDefault="00C04844">
            <w:pPr>
              <w:pStyle w:val="Default"/>
              <w:rPr>
                <w:rFonts w:ascii="Verdana" w:hAnsi="Verdana" w:cs="Verdana"/>
                <w:sz w:val="16"/>
                <w:szCs w:val="16"/>
              </w:rPr>
            </w:pPr>
            <w:r>
              <w:rPr>
                <w:rFonts w:ascii="Verdana" w:hAnsi="Verdana" w:cs="Verdana"/>
                <w:sz w:val="16"/>
                <w:szCs w:val="16"/>
              </w:rPr>
              <w:t xml:space="preserve"> </w:t>
            </w:r>
          </w:p>
          <w:p w:rsidR="00B37F23" w:rsidRDefault="00B37F23">
            <w:pPr>
              <w:pStyle w:val="Default"/>
              <w:rPr>
                <w:rFonts w:ascii="Verdana" w:hAnsi="Verdana" w:cs="Verdana"/>
                <w:sz w:val="16"/>
                <w:szCs w:val="16"/>
              </w:rPr>
            </w:pPr>
          </w:p>
        </w:tc>
      </w:tr>
      <w:tr w:rsidR="00C04844" w:rsidRPr="00C04844" w:rsidTr="00F77979">
        <w:trPr>
          <w:trHeight w:val="78"/>
        </w:trPr>
        <w:tc>
          <w:tcPr>
            <w:tcW w:w="1430"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04844" w:rsidRPr="00C04844" w:rsidRDefault="00C04844" w:rsidP="00F77979">
            <w:pPr>
              <w:pStyle w:val="Default"/>
              <w:rPr>
                <w:rFonts w:ascii="Verdana" w:hAnsi="Verdana" w:cs="Verdana"/>
                <w:sz w:val="16"/>
                <w:szCs w:val="16"/>
              </w:rPr>
            </w:pPr>
            <w:r>
              <w:rPr>
                <w:rFonts w:ascii="Verdana" w:hAnsi="Verdana" w:cs="Verdana"/>
                <w:sz w:val="16"/>
                <w:szCs w:val="16"/>
              </w:rPr>
              <w:t>Country</w:t>
            </w:r>
          </w:p>
        </w:tc>
        <w:tc>
          <w:tcPr>
            <w:tcW w:w="1230" w:type="dxa"/>
            <w:tcBorders>
              <w:top w:val="nil"/>
              <w:left w:val="single" w:sz="4" w:space="0" w:color="auto"/>
              <w:bottom w:val="single" w:sz="4" w:space="0" w:color="auto"/>
              <w:right w:val="single" w:sz="4" w:space="0" w:color="auto"/>
            </w:tcBorders>
            <w:shd w:val="clear" w:color="auto" w:fill="F2F2F2" w:themeFill="background1" w:themeFillShade="F2"/>
          </w:tcPr>
          <w:p w:rsidR="00C04844" w:rsidRDefault="00C04844" w:rsidP="00C04844">
            <w:pPr>
              <w:pStyle w:val="Default"/>
              <w:rPr>
                <w:rFonts w:ascii="Verdana" w:hAnsi="Verdana" w:cs="Verdana"/>
                <w:sz w:val="16"/>
                <w:szCs w:val="16"/>
              </w:rPr>
            </w:pPr>
            <w:r>
              <w:rPr>
                <w:rFonts w:ascii="Verdana" w:hAnsi="Verdana" w:cs="Verdana"/>
                <w:sz w:val="16"/>
                <w:szCs w:val="16"/>
              </w:rPr>
              <w:t xml:space="preserve">Official Per </w:t>
            </w:r>
          </w:p>
          <w:p w:rsidR="00C04844" w:rsidRPr="00C04844" w:rsidRDefault="00C04844" w:rsidP="00C04844">
            <w:pPr>
              <w:pStyle w:val="Default"/>
              <w:rPr>
                <w:rFonts w:ascii="Verdana" w:hAnsi="Verdana" w:cs="Verdana"/>
                <w:sz w:val="16"/>
                <w:szCs w:val="16"/>
              </w:rPr>
            </w:pPr>
            <w:r>
              <w:rPr>
                <w:rFonts w:ascii="Verdana" w:hAnsi="Verdana" w:cs="Verdana"/>
                <w:sz w:val="16"/>
                <w:szCs w:val="16"/>
              </w:rPr>
              <w:t xml:space="preserve">diem rate </w:t>
            </w:r>
            <w:r w:rsidR="00F77979">
              <w:rPr>
                <w:rFonts w:ascii="Verdana" w:hAnsi="Verdana" w:cs="Verdana"/>
                <w:sz w:val="16"/>
                <w:szCs w:val="16"/>
              </w:rPr>
              <w:t>(</w:t>
            </w:r>
            <w:r>
              <w:rPr>
                <w:rFonts w:ascii="Verdana" w:hAnsi="Verdana" w:cs="Verdana"/>
                <w:sz w:val="16"/>
                <w:szCs w:val="16"/>
              </w:rPr>
              <w:t>€</w:t>
            </w:r>
            <w:r w:rsidR="00F77979">
              <w:rPr>
                <w:rFonts w:ascii="Verdana" w:hAnsi="Verdana" w:cs="Verdana"/>
                <w:sz w:val="16"/>
                <w:szCs w:val="16"/>
              </w:rPr>
              <w:t>)</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04844" w:rsidRPr="00F77979" w:rsidRDefault="00C04844" w:rsidP="00F77979">
            <w:pPr>
              <w:pStyle w:val="Default"/>
              <w:rPr>
                <w:rFonts w:ascii="Verdana" w:hAnsi="Verdana" w:cs="Verdana"/>
                <w:sz w:val="16"/>
                <w:szCs w:val="16"/>
              </w:rPr>
            </w:pPr>
            <w:r>
              <w:rPr>
                <w:rFonts w:ascii="Verdana" w:hAnsi="Verdana" w:cs="Verdana"/>
                <w:sz w:val="16"/>
                <w:szCs w:val="16"/>
              </w:rPr>
              <w:t xml:space="preserve">60% financing </w:t>
            </w:r>
            <w:r w:rsidR="00F77979">
              <w:rPr>
                <w:rFonts w:ascii="Verdana" w:hAnsi="Verdana" w:cs="Verdana"/>
                <w:sz w:val="16"/>
                <w:szCs w:val="16"/>
              </w:rPr>
              <w:t>(</w:t>
            </w:r>
            <w:r>
              <w:rPr>
                <w:rFonts w:ascii="Verdana" w:hAnsi="Verdana" w:cs="Verdana"/>
                <w:sz w:val="16"/>
                <w:szCs w:val="16"/>
              </w:rPr>
              <w:t>€</w:t>
            </w:r>
            <w:r w:rsidR="00F77979">
              <w:rPr>
                <w:rFonts w:ascii="Verdana" w:hAnsi="Verdana" w:cs="Verdana"/>
                <w:sz w:val="16"/>
                <w:szCs w:val="16"/>
              </w:rPr>
              <w:t>)</w:t>
            </w:r>
          </w:p>
        </w:tc>
        <w:tc>
          <w:tcPr>
            <w:tcW w:w="850" w:type="dxa"/>
            <w:vMerge w:val="restart"/>
            <w:tcBorders>
              <w:top w:val="nil"/>
              <w:left w:val="single" w:sz="4" w:space="0" w:color="auto"/>
              <w:bottom w:val="nil"/>
              <w:right w:val="single" w:sz="4" w:space="0" w:color="auto"/>
            </w:tcBorders>
          </w:tcPr>
          <w:p w:rsidR="00C04844" w:rsidRDefault="00C04844">
            <w:pPr>
              <w:pStyle w:val="Default"/>
              <w:rPr>
                <w:rFonts w:ascii="Verdana" w:hAnsi="Verdana" w:cs="Verdana"/>
                <w:sz w:val="16"/>
                <w:szCs w:val="16"/>
              </w:rPr>
            </w:pP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04844" w:rsidRPr="00C04844" w:rsidRDefault="00C04844" w:rsidP="00F77979">
            <w:pPr>
              <w:pStyle w:val="Default"/>
              <w:rPr>
                <w:rFonts w:ascii="Verdana" w:hAnsi="Verdana" w:cs="Verdana"/>
                <w:sz w:val="16"/>
                <w:szCs w:val="16"/>
              </w:rPr>
            </w:pPr>
            <w:r>
              <w:rPr>
                <w:rFonts w:ascii="Verdana" w:hAnsi="Verdana" w:cs="Verdana"/>
                <w:sz w:val="16"/>
                <w:szCs w:val="16"/>
              </w:rPr>
              <w:t>Country</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tcPr>
          <w:p w:rsidR="00C04844" w:rsidRDefault="00C04844" w:rsidP="00C04844">
            <w:pPr>
              <w:pStyle w:val="Default"/>
              <w:rPr>
                <w:rFonts w:ascii="Verdana" w:hAnsi="Verdana" w:cs="Verdana"/>
                <w:sz w:val="16"/>
                <w:szCs w:val="16"/>
              </w:rPr>
            </w:pPr>
            <w:r>
              <w:rPr>
                <w:rFonts w:ascii="Verdana" w:hAnsi="Verdana" w:cs="Verdana"/>
                <w:sz w:val="16"/>
                <w:szCs w:val="16"/>
              </w:rPr>
              <w:t xml:space="preserve">Official Per </w:t>
            </w:r>
          </w:p>
          <w:p w:rsidR="00C04844" w:rsidRDefault="00C04844" w:rsidP="00C04844">
            <w:pPr>
              <w:pStyle w:val="Default"/>
              <w:rPr>
                <w:rFonts w:ascii="Verdana" w:hAnsi="Verdana" w:cs="Verdana"/>
                <w:sz w:val="16"/>
                <w:szCs w:val="16"/>
              </w:rPr>
            </w:pPr>
            <w:r>
              <w:rPr>
                <w:rFonts w:ascii="Verdana" w:hAnsi="Verdana" w:cs="Verdana"/>
                <w:sz w:val="16"/>
                <w:szCs w:val="16"/>
              </w:rPr>
              <w:t xml:space="preserve">diem rate </w:t>
            </w:r>
          </w:p>
          <w:p w:rsidR="00C04844" w:rsidRPr="00C04844" w:rsidRDefault="00C04844" w:rsidP="00C04844">
            <w:pPr>
              <w:pStyle w:val="Default"/>
              <w:rPr>
                <w:rFonts w:ascii="Verdana" w:hAnsi="Verdana" w:cs="Verdana"/>
                <w:sz w:val="16"/>
                <w:szCs w:val="16"/>
              </w:rPr>
            </w:pPr>
            <w:r>
              <w:rPr>
                <w:rFonts w:ascii="Verdana" w:hAnsi="Verdana" w:cs="Verdana"/>
                <w:sz w:val="16"/>
                <w:szCs w:val="16"/>
              </w:rPr>
              <w:t>€</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04844" w:rsidRPr="00F77979" w:rsidRDefault="00C04844" w:rsidP="00F77979">
            <w:pPr>
              <w:pStyle w:val="Default"/>
              <w:rPr>
                <w:rFonts w:ascii="Verdana" w:hAnsi="Verdana" w:cs="Verdana"/>
                <w:sz w:val="16"/>
                <w:szCs w:val="16"/>
              </w:rPr>
            </w:pPr>
            <w:r>
              <w:rPr>
                <w:rFonts w:ascii="Verdana" w:hAnsi="Verdana" w:cs="Verdana"/>
                <w:sz w:val="16"/>
                <w:szCs w:val="16"/>
              </w:rPr>
              <w:t xml:space="preserve">60% financing </w:t>
            </w:r>
            <w:r w:rsidR="00F77979">
              <w:rPr>
                <w:rFonts w:ascii="Verdana" w:hAnsi="Verdana" w:cs="Verdana"/>
                <w:sz w:val="16"/>
                <w:szCs w:val="16"/>
              </w:rPr>
              <w:t>(</w:t>
            </w:r>
            <w:r>
              <w:rPr>
                <w:rFonts w:ascii="Verdana" w:hAnsi="Verdana" w:cs="Verdana"/>
                <w:sz w:val="16"/>
                <w:szCs w:val="16"/>
              </w:rPr>
              <w:t>€</w:t>
            </w:r>
            <w:r w:rsidR="00F77979">
              <w:rPr>
                <w:rFonts w:ascii="Verdana" w:hAnsi="Verdana" w:cs="Verdana"/>
                <w:sz w:val="16"/>
                <w:szCs w:val="16"/>
              </w:rPr>
              <w:t>)</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Albania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238.00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142.80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Latvia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211.00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126.60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Algeria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297.00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178.20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Lebanon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214.00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128.40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Argentina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281.00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168.60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cs="Verdana"/>
                <w:sz w:val="16"/>
                <w:szCs w:val="16"/>
              </w:rPr>
              <w:t xml:space="preserve">Libyan Arab Jamaharija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160.00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96.00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Australia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248.00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148.80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Lithuania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183.00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109.80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Austria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225.00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135.00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Luxembourg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237.00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142.20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Bahamas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271.00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162.60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Malaysia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167.00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100.20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Bahrain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243.00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145.80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Mexico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235.00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141.00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cs="Verdana"/>
                <w:sz w:val="16"/>
                <w:szCs w:val="16"/>
              </w:rPr>
              <w:t xml:space="preserve">Bangladesh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173.00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103.80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Monaco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284.00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170.40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Belgium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242.00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145.20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Morocco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199.00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119.40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cs="Verdana"/>
                <w:sz w:val="16"/>
                <w:szCs w:val="16"/>
              </w:rPr>
              <w:t xml:space="preserve">Bosnia - Herzergovina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163.00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97.80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Netherlands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263.00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157.80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Brazil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180.00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108.00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New Zealand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187.00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112.20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cs="Verdana"/>
                <w:sz w:val="16"/>
                <w:szCs w:val="16"/>
              </w:rPr>
              <w:t xml:space="preserve">Bulgaria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227.00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136.20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Nigeria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224.00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134.40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Canada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252.00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151.20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Norway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258.00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154.80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Chile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180.00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108.00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Oman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227.00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136.20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China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184.00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110.40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Pakistan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243.00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145.80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Colombia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205.00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123.00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Philippines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164.00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98.40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Croatia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234.00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140.40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Poland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217.00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130.20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Cuba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144.00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86.40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Portugal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204.00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122.40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Cyprus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238.00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142.80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Qatar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286.00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171.60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Czech Republic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230.00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138.00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Romania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222.00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133.20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Denmark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270.00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162.00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Russian Federation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361.00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216.60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Egypt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194.00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116.40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Saudi Arabia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258.00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154.80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Estonia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181.00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108.60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Singapore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322.00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193.20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Ethiopia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238.00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142.80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Slovak Republic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205.00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123.00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Finland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244.00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146.40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Slovenia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180.00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108.00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France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245.00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147.00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Somalia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61.00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36.60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Georgia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229.00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137.40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cs="Verdana"/>
                <w:sz w:val="16"/>
                <w:szCs w:val="16"/>
              </w:rPr>
              <w:t xml:space="preserve">South Africa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207.00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124.20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Germany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208.00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124.80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Spain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212.00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127.20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Ghana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240.00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144.00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Sri Lanka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104.00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62.40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Greece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222.00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133.20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Sweden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257.00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154.20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Hungary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222.00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133.20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Switzerland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291.00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174.60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Iceland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154.00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92.40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Syrian Arab Republic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255.00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153.00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India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278.00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166.80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cs="Verdana"/>
                <w:sz w:val="16"/>
                <w:szCs w:val="16"/>
              </w:rPr>
              <w:t xml:space="preserve">Tanzania, United Rep. Of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205.00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123.00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Indonesia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110.00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66.00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Thailand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183.00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109.80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Ireland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254.00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152.40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Tunisia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148.00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88.80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Israel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309.00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185.40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Turkey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137.00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82.20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Italy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230.00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138.00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Ukraine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307.00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184.20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Jamaica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149.00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89.40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United Arab Emirates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342.00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205.20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Japan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281.00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168.60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United Kingdom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276.00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165.60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Jordan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180.00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108.00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Uruguay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174.00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104.40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Kenya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214.00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128.40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USA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276.00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165.60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Korea, Republic Of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288.00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172.80 </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cs="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Venezuela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269.00 </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 xml:space="preserve">161.40 </w:t>
            </w:r>
          </w:p>
        </w:tc>
      </w:tr>
      <w:tr w:rsidR="00C04844" w:rsidRPr="00C04844" w:rsidTr="00F77979">
        <w:trPr>
          <w:trHeight w:val="78"/>
        </w:trPr>
        <w:tc>
          <w:tcPr>
            <w:tcW w:w="14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cs="Verdana"/>
                <w:sz w:val="16"/>
                <w:szCs w:val="16"/>
              </w:rPr>
              <w:t xml:space="preserve">Kuwait </w:t>
            </w:r>
          </w:p>
        </w:tc>
        <w:tc>
          <w:tcPr>
            <w:tcW w:w="1230"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cs="Verdana"/>
                <w:sz w:val="16"/>
                <w:szCs w:val="16"/>
              </w:rPr>
            </w:pPr>
            <w:r w:rsidRPr="00C04844">
              <w:rPr>
                <w:rFonts w:ascii="Verdana" w:hAnsi="Verdana"/>
                <w:sz w:val="16"/>
                <w:szCs w:val="16"/>
              </w:rPr>
              <w:t>274.00</w:t>
            </w:r>
          </w:p>
        </w:tc>
        <w:tc>
          <w:tcPr>
            <w:tcW w:w="1276"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r w:rsidRPr="00C04844">
              <w:rPr>
                <w:rFonts w:ascii="Verdana" w:hAnsi="Verdana"/>
                <w:sz w:val="16"/>
                <w:szCs w:val="16"/>
              </w:rPr>
              <w:t>164.40</w:t>
            </w:r>
          </w:p>
        </w:tc>
        <w:tc>
          <w:tcPr>
            <w:tcW w:w="850" w:type="dxa"/>
            <w:vMerge/>
            <w:tcBorders>
              <w:top w:val="nil"/>
              <w:left w:val="single" w:sz="4" w:space="0" w:color="auto"/>
              <w:bottom w:val="nil"/>
              <w:right w:val="single" w:sz="4" w:space="0" w:color="auto"/>
            </w:tcBorders>
          </w:tcPr>
          <w:p w:rsidR="00C04844" w:rsidRPr="00C04844" w:rsidRDefault="00C04844">
            <w:pPr>
              <w:pStyle w:val="Default"/>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p>
        </w:tc>
        <w:tc>
          <w:tcPr>
            <w:tcW w:w="2552" w:type="dxa"/>
            <w:gridSpan w:val="2"/>
            <w:tcBorders>
              <w:top w:val="single" w:sz="4" w:space="0" w:color="auto"/>
              <w:left w:val="single" w:sz="4" w:space="0" w:color="auto"/>
              <w:bottom w:val="single" w:sz="4" w:space="0" w:color="auto"/>
              <w:right w:val="single" w:sz="4" w:space="0" w:color="auto"/>
            </w:tcBorders>
          </w:tcPr>
          <w:p w:rsidR="00C04844" w:rsidRPr="00C04844" w:rsidRDefault="00C04844">
            <w:pPr>
              <w:pStyle w:val="Default"/>
              <w:rPr>
                <w:rFonts w:ascii="Verdana" w:hAnsi="Verdana"/>
                <w:sz w:val="16"/>
                <w:szCs w:val="16"/>
              </w:rPr>
            </w:pPr>
          </w:p>
        </w:tc>
      </w:tr>
    </w:tbl>
    <w:p w:rsidR="00C04844" w:rsidRDefault="00C04844" w:rsidP="00D523DC">
      <w:pPr>
        <w:rPr>
          <w:rFonts w:ascii="Verdana" w:hAnsi="Verdana"/>
          <w:sz w:val="16"/>
          <w:szCs w:val="16"/>
        </w:rPr>
      </w:pPr>
    </w:p>
    <w:p w:rsidR="00AA4016" w:rsidRDefault="00AA4016" w:rsidP="00D523DC">
      <w:pPr>
        <w:rPr>
          <w:rFonts w:ascii="Verdana" w:hAnsi="Verdana"/>
          <w:sz w:val="16"/>
          <w:szCs w:val="16"/>
        </w:rPr>
      </w:pPr>
    </w:p>
    <w:p w:rsidR="00AA4016" w:rsidRDefault="00AA4016" w:rsidP="00D523DC">
      <w:pPr>
        <w:rPr>
          <w:rFonts w:ascii="Verdana" w:hAnsi="Verdana"/>
          <w:sz w:val="16"/>
          <w:szCs w:val="16"/>
        </w:rPr>
      </w:pPr>
    </w:p>
    <w:p w:rsidR="00271ECB" w:rsidRDefault="00AA4016" w:rsidP="00AA4016">
      <w:pPr>
        <w:pStyle w:val="Default"/>
        <w:rPr>
          <w:rFonts w:ascii="Verdana" w:hAnsi="Verdana"/>
          <w:sz w:val="16"/>
          <w:szCs w:val="16"/>
        </w:rPr>
      </w:pPr>
      <w:r w:rsidRPr="00C27F5A">
        <w:rPr>
          <w:rFonts w:ascii="DINPro-Medium" w:hAnsi="DINPro-Medium"/>
          <w:bCs/>
          <w:sz w:val="28"/>
          <w:szCs w:val="28"/>
        </w:rPr>
        <w:lastRenderedPageBreak/>
        <w:t xml:space="preserve">Per diem rates per country effective </w:t>
      </w:r>
      <w:r>
        <w:rPr>
          <w:rFonts w:ascii="DINPro-Medium" w:hAnsi="DINPro-Medium"/>
          <w:bCs/>
          <w:sz w:val="28"/>
          <w:szCs w:val="28"/>
        </w:rPr>
        <w:t>from 1</w:t>
      </w:r>
      <w:r w:rsidRPr="00AA4016">
        <w:rPr>
          <w:rFonts w:ascii="DINPro-Medium" w:hAnsi="DINPro-Medium"/>
          <w:bCs/>
          <w:sz w:val="28"/>
          <w:szCs w:val="28"/>
          <w:vertAlign w:val="superscript"/>
        </w:rPr>
        <w:t>st</w:t>
      </w:r>
      <w:r>
        <w:rPr>
          <w:rFonts w:ascii="DINPro-Medium" w:hAnsi="DINPro-Medium"/>
          <w:bCs/>
          <w:sz w:val="28"/>
          <w:szCs w:val="28"/>
        </w:rPr>
        <w:t xml:space="preserve"> May 2012 till the 31</w:t>
      </w:r>
      <w:r w:rsidRPr="00AA4016">
        <w:rPr>
          <w:rFonts w:ascii="DINPro-Medium" w:hAnsi="DINPro-Medium"/>
          <w:bCs/>
          <w:sz w:val="28"/>
          <w:szCs w:val="28"/>
          <w:vertAlign w:val="superscript"/>
        </w:rPr>
        <w:t>st</w:t>
      </w:r>
      <w:r>
        <w:rPr>
          <w:rFonts w:ascii="DINPro-Medium" w:hAnsi="DINPro-Medium"/>
          <w:bCs/>
          <w:sz w:val="28"/>
          <w:szCs w:val="28"/>
        </w:rPr>
        <w:t xml:space="preserve"> May 2013.</w:t>
      </w:r>
    </w:p>
    <w:tbl>
      <w:tblPr>
        <w:tblW w:w="9515" w:type="dxa"/>
        <w:tblInd w:w="91" w:type="dxa"/>
        <w:tblLayout w:type="fixed"/>
        <w:tblLook w:val="04A0"/>
      </w:tblPr>
      <w:tblGrid>
        <w:gridCol w:w="2636"/>
        <w:gridCol w:w="925"/>
        <w:gridCol w:w="1153"/>
        <w:gridCol w:w="456"/>
        <w:gridCol w:w="2252"/>
        <w:gridCol w:w="969"/>
        <w:gridCol w:w="1124"/>
      </w:tblGrid>
      <w:tr w:rsidR="00AA4016" w:rsidRPr="00AA4016" w:rsidTr="00AA4016">
        <w:trPr>
          <w:trHeight w:val="315"/>
        </w:trPr>
        <w:tc>
          <w:tcPr>
            <w:tcW w:w="26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4016" w:rsidRPr="00AA4016" w:rsidRDefault="00AA4016" w:rsidP="00AA4016">
            <w:pPr>
              <w:spacing w:before="0" w:after="0"/>
              <w:jc w:val="left"/>
              <w:rPr>
                <w:rFonts w:ascii="DINPro" w:hAnsi="DINPro"/>
                <w:color w:val="1F497D" w:themeColor="text2"/>
                <w:sz w:val="20"/>
                <w:szCs w:val="20"/>
                <w:lang w:eastAsia="en-GB"/>
              </w:rPr>
            </w:pPr>
            <w:r w:rsidRPr="00AA4016">
              <w:rPr>
                <w:rFonts w:ascii="DINPro" w:hAnsi="DINPro"/>
                <w:color w:val="1F497D" w:themeColor="text2"/>
                <w:sz w:val="20"/>
                <w:szCs w:val="20"/>
                <w:lang w:eastAsia="en-GB"/>
              </w:rPr>
              <w:t>COUNTRY</w:t>
            </w:r>
          </w:p>
        </w:tc>
        <w:tc>
          <w:tcPr>
            <w:tcW w:w="9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4016" w:rsidRPr="00AA4016" w:rsidRDefault="00AA4016" w:rsidP="00EB590C">
            <w:pPr>
              <w:spacing w:before="0" w:after="0"/>
              <w:jc w:val="right"/>
              <w:rPr>
                <w:rFonts w:ascii="DINPro-Medium" w:hAnsi="DINPro-Medium"/>
                <w:color w:val="1F497D" w:themeColor="text2"/>
                <w:sz w:val="20"/>
                <w:szCs w:val="20"/>
                <w:lang w:eastAsia="en-GB"/>
              </w:rPr>
            </w:pPr>
            <w:r w:rsidRPr="00AA4016">
              <w:rPr>
                <w:rFonts w:ascii="DINPro-Medium" w:hAnsi="DINPro-Medium"/>
                <w:color w:val="1F497D" w:themeColor="text2"/>
                <w:sz w:val="20"/>
                <w:szCs w:val="20"/>
                <w:lang w:eastAsia="en-GB"/>
              </w:rPr>
              <w:t>Official per diem rate</w:t>
            </w:r>
          </w:p>
        </w:tc>
        <w:tc>
          <w:tcPr>
            <w:tcW w:w="11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4016" w:rsidRPr="00AA4016" w:rsidRDefault="00AA4016" w:rsidP="00EB590C">
            <w:pPr>
              <w:spacing w:before="0" w:after="0"/>
              <w:jc w:val="right"/>
              <w:rPr>
                <w:rFonts w:ascii="DINPro-Medium" w:hAnsi="DINPro-Medium"/>
                <w:color w:val="1F497D" w:themeColor="text2"/>
                <w:sz w:val="20"/>
                <w:szCs w:val="20"/>
                <w:lang w:eastAsia="en-GB"/>
              </w:rPr>
            </w:pPr>
            <w:r w:rsidRPr="00AA4016">
              <w:rPr>
                <w:rFonts w:ascii="DINPro-Medium" w:hAnsi="DINPro-Medium"/>
                <w:color w:val="1F497D" w:themeColor="text2"/>
                <w:sz w:val="20"/>
                <w:szCs w:val="20"/>
                <w:lang w:eastAsia="en-GB"/>
              </w:rPr>
              <w:t>60% co-financing rate</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1F497D" w:themeColor="text2"/>
                <w:sz w:val="20"/>
                <w:szCs w:val="20"/>
                <w:lang w:eastAsia="en-GB"/>
              </w:rPr>
            </w:pPr>
          </w:p>
        </w:tc>
        <w:tc>
          <w:tcPr>
            <w:tcW w:w="2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4016" w:rsidRPr="00AA4016" w:rsidRDefault="00AA4016" w:rsidP="00AA4016">
            <w:pPr>
              <w:spacing w:before="0" w:after="0"/>
              <w:jc w:val="left"/>
              <w:rPr>
                <w:rFonts w:ascii="DINPro" w:hAnsi="DINPro"/>
                <w:color w:val="1F497D" w:themeColor="text2"/>
                <w:sz w:val="20"/>
                <w:szCs w:val="20"/>
                <w:lang w:eastAsia="en-GB"/>
              </w:rPr>
            </w:pPr>
            <w:r w:rsidRPr="00AA4016">
              <w:rPr>
                <w:rFonts w:ascii="DINPro" w:hAnsi="DINPro"/>
                <w:color w:val="1F497D" w:themeColor="text2"/>
                <w:sz w:val="20"/>
                <w:szCs w:val="20"/>
                <w:lang w:eastAsia="en-GB"/>
              </w:rPr>
              <w:t>COUNTRY</w:t>
            </w:r>
          </w:p>
        </w:tc>
        <w:tc>
          <w:tcPr>
            <w:tcW w:w="9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4016" w:rsidRPr="00AA4016" w:rsidRDefault="00AA4016" w:rsidP="00EB590C">
            <w:pPr>
              <w:spacing w:before="0" w:after="0"/>
              <w:jc w:val="right"/>
              <w:rPr>
                <w:rFonts w:ascii="DINPro-Medium" w:hAnsi="DINPro-Medium"/>
                <w:color w:val="1F497D" w:themeColor="text2"/>
                <w:sz w:val="20"/>
                <w:szCs w:val="20"/>
                <w:lang w:eastAsia="en-GB"/>
              </w:rPr>
            </w:pPr>
            <w:r w:rsidRPr="00AA4016">
              <w:rPr>
                <w:rFonts w:ascii="DINPro-Medium" w:hAnsi="DINPro-Medium"/>
                <w:color w:val="1F497D" w:themeColor="text2"/>
                <w:sz w:val="20"/>
                <w:szCs w:val="20"/>
                <w:lang w:eastAsia="en-GB"/>
              </w:rPr>
              <w:t>Official per diem rate</w:t>
            </w:r>
          </w:p>
        </w:tc>
        <w:tc>
          <w:tcPr>
            <w:tcW w:w="11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4016" w:rsidRPr="00AA4016" w:rsidRDefault="00AA4016" w:rsidP="00EB590C">
            <w:pPr>
              <w:spacing w:before="0" w:after="0"/>
              <w:jc w:val="right"/>
              <w:rPr>
                <w:rFonts w:ascii="DINPro-Medium" w:hAnsi="DINPro-Medium"/>
                <w:color w:val="1F497D" w:themeColor="text2"/>
                <w:sz w:val="20"/>
                <w:szCs w:val="20"/>
                <w:lang w:eastAsia="en-GB"/>
              </w:rPr>
            </w:pPr>
            <w:r w:rsidRPr="00AA4016">
              <w:rPr>
                <w:rFonts w:ascii="DINPro-Medium" w:hAnsi="DINPro-Medium"/>
                <w:color w:val="1F497D" w:themeColor="text2"/>
                <w:sz w:val="20"/>
                <w:szCs w:val="20"/>
                <w:lang w:eastAsia="en-GB"/>
              </w:rPr>
              <w:t>60% co-financing rate</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ALBANIA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€191</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€115</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LATVIA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€190</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€114</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ALGERIA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€296</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€178</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LEBANON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€194</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€116</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ARGENTINA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€249</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€149</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LIBYAN ARAB JAMAHARIJA</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€141</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€85</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AUSTRALIA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€235</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€141</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LITHUANIA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€165</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€99</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AUSTRIA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€203</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€122</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LUXEMBOURG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€213</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€128</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BAHAMAS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€275</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€165</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MALAYSIA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€153</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€92</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BAHRAIN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€216</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€130</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MEXICO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€209</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€125</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BANGLADESH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€168</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€101</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MONACO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€241</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€145</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BELGIUM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€218</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€131</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MOROCCO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€197</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€118</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BOSNIA and HERZERGOVINA</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€128</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€77</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NETHERLANDS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€237</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€142</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BRAZIL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€167</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€100</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NEW ZEALAND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€170</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€102</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BULGARIA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€204</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€122</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NIGERIA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€185</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€111</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CANADA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€222</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€133</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NORWAY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€241</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€145</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CHILE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€160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€96</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OMAN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€202</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€121</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CHINA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€187</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€112</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PAKISTAN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€235</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€141</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COLOMBIA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€158</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€95</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PHILIPPINES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€158</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€95</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CROATIA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€221</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€133</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POLAND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€195</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€117</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CUBA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€128</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€77</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PORTUGAL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€184</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€110</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CYPRUS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€214</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€128</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QATAR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€268</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€161</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CZECH REPUBLIC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€207</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€124</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ROMANIA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€200</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€120</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DENMARK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€243</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€146</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RUSSIAN FEDERATION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€365</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€219</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EGYPT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€198</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€119</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SAUDI ARABIA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€281</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€169</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ESTONIA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€163</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€98</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SINGAPORE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€312</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€187</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ETHIOPIA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€212</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€127</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SLOVAK REPUBLIC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€185</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€111</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FINLAND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€220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€132</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SLOVENIA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€162</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€97</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FRANCE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€221</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€133</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SOMALIA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€55</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€33</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GEORGIA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€192</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€115</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SOUTH AFRICA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€177</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€106</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GERMANY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€187</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€112</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SPAIN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€191</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€115</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GHANA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€239</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€143</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SRI LANKA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€132</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€79</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GREECE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€200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€120</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SWEDEN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€231</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€139</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HUNGARY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€200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€120</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SWITZERLAND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€284</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€170</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ICELAND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€133</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€80</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SYRIAN ARAB REPUBLIC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€260</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€156</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INDIA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€223</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€134</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TANZANIA, UNITED REP. of</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€192</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€115</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INDONESIA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€111</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€67</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THAILAND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€164</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€98</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IRELAND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€229</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€137</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TUNISIA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€130</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€78</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ISRAEL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€274</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€164</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TURKEY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€135</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€81</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ITALY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€207</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€124</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UKRAINE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€273</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€164</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JAMAICA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€171</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€103</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UNITED ARAB EMIRATES</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€250</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€150</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JAPAN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€271</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€163</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UNITED KINGDOM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€248</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€149</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JORDAN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€167</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€100</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URUGUAY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€166</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€100</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KENYA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€236</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€142</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USA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€245</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€147</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KOREA, REPUBLIC OF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€251</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€151</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xml:space="preserve">VENEZUELA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€239</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€143</w:t>
            </w:r>
          </w:p>
        </w:tc>
      </w:tr>
      <w:tr w:rsidR="00AA4016" w:rsidRPr="00AA4016" w:rsidTr="00AA4016">
        <w:trPr>
          <w:trHeight w:hRule="exact" w:val="227"/>
        </w:trPr>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016" w:rsidRPr="00AA4016" w:rsidRDefault="00AA4016" w:rsidP="00AA4016">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KUWAIT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€254</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right"/>
              <w:rPr>
                <w:rFonts w:ascii="DINPro" w:hAnsi="DINPro" w:cs="Arial"/>
                <w:color w:val="000000"/>
                <w:sz w:val="16"/>
                <w:szCs w:val="16"/>
                <w:lang w:eastAsia="en-GB"/>
              </w:rPr>
            </w:pPr>
            <w:r w:rsidRPr="00AA4016">
              <w:rPr>
                <w:rFonts w:ascii="DINPro" w:hAnsi="DINPro" w:cs="Arial"/>
                <w:color w:val="000000"/>
                <w:sz w:val="16"/>
                <w:szCs w:val="16"/>
                <w:lang w:eastAsia="en-GB"/>
              </w:rPr>
              <w:t>€152</w:t>
            </w:r>
          </w:p>
        </w:tc>
        <w:tc>
          <w:tcPr>
            <w:tcW w:w="456" w:type="dxa"/>
            <w:tcBorders>
              <w:top w:val="nil"/>
              <w:left w:val="single" w:sz="4" w:space="0" w:color="auto"/>
              <w:bottom w:val="nil"/>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AA4016" w:rsidRPr="00AA4016" w:rsidRDefault="00AA4016" w:rsidP="00AA4016">
            <w:pPr>
              <w:spacing w:before="0" w:after="0"/>
              <w:jc w:val="left"/>
              <w:rPr>
                <w:rFonts w:ascii="DINPro" w:hAnsi="DINPro" w:cs="Arial"/>
                <w:color w:val="000000"/>
                <w:sz w:val="16"/>
                <w:szCs w:val="16"/>
                <w:lang w:eastAsia="en-GB"/>
              </w:rPr>
            </w:pPr>
            <w:r w:rsidRPr="00AA4016">
              <w:rPr>
                <w:rFonts w:ascii="DINPro" w:hAnsi="DINPro" w:cs="Arial"/>
                <w:color w:val="000000"/>
                <w:sz w:val="16"/>
                <w:szCs w:val="16"/>
                <w:lang w:eastAsia="en-GB"/>
              </w:rPr>
              <w:t> </w:t>
            </w:r>
          </w:p>
        </w:tc>
      </w:tr>
    </w:tbl>
    <w:p w:rsidR="00271ECB" w:rsidRDefault="00271ECB" w:rsidP="00D523DC">
      <w:pPr>
        <w:rPr>
          <w:rFonts w:ascii="Verdana" w:hAnsi="Verdana"/>
          <w:sz w:val="16"/>
          <w:szCs w:val="16"/>
        </w:rPr>
      </w:pPr>
    </w:p>
    <w:p w:rsidR="00751F8C" w:rsidRDefault="00751F8C" w:rsidP="00D523DC">
      <w:pPr>
        <w:rPr>
          <w:rFonts w:ascii="Verdana" w:hAnsi="Verdana"/>
          <w:sz w:val="16"/>
          <w:szCs w:val="16"/>
        </w:rPr>
      </w:pPr>
    </w:p>
    <w:p w:rsidR="00751F8C" w:rsidRDefault="00751F8C" w:rsidP="00D523DC">
      <w:pPr>
        <w:rPr>
          <w:rFonts w:ascii="Verdana" w:hAnsi="Verdana"/>
          <w:sz w:val="16"/>
          <w:szCs w:val="16"/>
        </w:rPr>
      </w:pPr>
    </w:p>
    <w:p w:rsidR="00AA4016" w:rsidRDefault="00AA4016" w:rsidP="00D523DC">
      <w:pPr>
        <w:rPr>
          <w:rFonts w:ascii="Verdana" w:hAnsi="Verdana"/>
          <w:sz w:val="16"/>
          <w:szCs w:val="16"/>
        </w:rPr>
      </w:pPr>
    </w:p>
    <w:p w:rsidR="00AA4016" w:rsidRDefault="00AA4016" w:rsidP="00D523DC">
      <w:pPr>
        <w:rPr>
          <w:rFonts w:ascii="Verdana" w:hAnsi="Verdana"/>
          <w:sz w:val="16"/>
          <w:szCs w:val="16"/>
        </w:rPr>
      </w:pPr>
    </w:p>
    <w:p w:rsidR="00AA4016" w:rsidRDefault="00AA4016" w:rsidP="00AA4016">
      <w:pPr>
        <w:pStyle w:val="Default"/>
        <w:rPr>
          <w:rFonts w:ascii="Verdana" w:hAnsi="Verdana"/>
          <w:sz w:val="16"/>
          <w:szCs w:val="16"/>
        </w:rPr>
      </w:pPr>
      <w:r w:rsidRPr="00C27F5A">
        <w:rPr>
          <w:rFonts w:ascii="DINPro-Medium" w:hAnsi="DINPro-Medium"/>
          <w:bCs/>
          <w:sz w:val="28"/>
          <w:szCs w:val="28"/>
        </w:rPr>
        <w:lastRenderedPageBreak/>
        <w:t xml:space="preserve">Per diem rates per country effective </w:t>
      </w:r>
      <w:r>
        <w:rPr>
          <w:rFonts w:ascii="DINPro-Medium" w:hAnsi="DINPro-Medium"/>
          <w:bCs/>
          <w:sz w:val="28"/>
          <w:szCs w:val="28"/>
        </w:rPr>
        <w:t>from 1</w:t>
      </w:r>
      <w:r w:rsidRPr="00AA4016">
        <w:rPr>
          <w:rFonts w:ascii="DINPro-Medium" w:hAnsi="DINPro-Medium"/>
          <w:bCs/>
          <w:sz w:val="28"/>
          <w:szCs w:val="28"/>
          <w:vertAlign w:val="superscript"/>
        </w:rPr>
        <w:t>st</w:t>
      </w:r>
      <w:r>
        <w:rPr>
          <w:rFonts w:ascii="DINPro-Medium" w:hAnsi="DINPro-Medium"/>
          <w:bCs/>
          <w:sz w:val="28"/>
          <w:szCs w:val="28"/>
        </w:rPr>
        <w:t xml:space="preserve"> June 2013.</w:t>
      </w:r>
    </w:p>
    <w:p w:rsidR="00751F8C" w:rsidRDefault="00751F8C" w:rsidP="00D523DC">
      <w:pPr>
        <w:rPr>
          <w:rFonts w:ascii="Verdana" w:hAnsi="Verdana"/>
          <w:sz w:val="16"/>
          <w:szCs w:val="16"/>
        </w:rPr>
      </w:pPr>
    </w:p>
    <w:tbl>
      <w:tblPr>
        <w:tblW w:w="923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1276"/>
        <w:gridCol w:w="1134"/>
        <w:gridCol w:w="283"/>
        <w:gridCol w:w="1843"/>
        <w:gridCol w:w="1417"/>
        <w:gridCol w:w="1276"/>
      </w:tblGrid>
      <w:tr w:rsidR="00AA4016" w:rsidRPr="00C61595" w:rsidTr="00AA4016">
        <w:trPr>
          <w:cantSplit/>
          <w:trHeight w:val="983"/>
          <w:tblHeader/>
        </w:trPr>
        <w:tc>
          <w:tcPr>
            <w:tcW w:w="2002" w:type="dxa"/>
            <w:shd w:val="clear" w:color="auto" w:fill="DBE5F1" w:themeFill="accent1" w:themeFillTint="33"/>
            <w:vAlign w:val="center"/>
            <w:hideMark/>
          </w:tcPr>
          <w:p w:rsidR="00C61595" w:rsidRPr="00C61595" w:rsidRDefault="00C61595" w:rsidP="00C61595">
            <w:pPr>
              <w:spacing w:before="0" w:after="0"/>
              <w:jc w:val="left"/>
              <w:rPr>
                <w:rFonts w:ascii="DINPro-Medium" w:hAnsi="DINPro-Medium"/>
                <w:color w:val="000000"/>
                <w:sz w:val="22"/>
                <w:szCs w:val="22"/>
                <w:lang w:eastAsia="en-GB"/>
              </w:rPr>
            </w:pPr>
            <w:r w:rsidRPr="00C61595">
              <w:rPr>
                <w:rFonts w:ascii="DINPro-Medium" w:hAnsi="DINPro-Medium"/>
                <w:color w:val="000000"/>
                <w:sz w:val="22"/>
                <w:szCs w:val="22"/>
                <w:lang w:eastAsia="en-GB"/>
              </w:rPr>
              <w:t>COUNTRY</w:t>
            </w:r>
          </w:p>
        </w:tc>
        <w:tc>
          <w:tcPr>
            <w:tcW w:w="1276" w:type="dxa"/>
            <w:shd w:val="clear" w:color="auto" w:fill="DBE5F1" w:themeFill="accent1" w:themeFillTint="33"/>
            <w:vAlign w:val="center"/>
            <w:hideMark/>
          </w:tcPr>
          <w:p w:rsidR="00C61595" w:rsidRPr="00C61595" w:rsidRDefault="00C61595" w:rsidP="00C61595">
            <w:pPr>
              <w:spacing w:before="0" w:after="0"/>
              <w:jc w:val="right"/>
              <w:rPr>
                <w:rFonts w:ascii="DINPro-Medium" w:hAnsi="DINPro-Medium"/>
                <w:color w:val="000000"/>
                <w:sz w:val="22"/>
                <w:szCs w:val="22"/>
                <w:lang w:eastAsia="en-GB"/>
              </w:rPr>
            </w:pPr>
            <w:r w:rsidRPr="00C61595">
              <w:rPr>
                <w:rFonts w:ascii="DINPro-Medium" w:hAnsi="DINPro-Medium"/>
                <w:color w:val="000000"/>
                <w:sz w:val="22"/>
                <w:szCs w:val="22"/>
                <w:lang w:eastAsia="en-GB"/>
              </w:rPr>
              <w:t>Official per diem rate</w:t>
            </w:r>
          </w:p>
        </w:tc>
        <w:tc>
          <w:tcPr>
            <w:tcW w:w="1134" w:type="dxa"/>
            <w:shd w:val="clear" w:color="auto" w:fill="DBE5F1" w:themeFill="accent1" w:themeFillTint="33"/>
            <w:vAlign w:val="center"/>
            <w:hideMark/>
          </w:tcPr>
          <w:p w:rsidR="00C61595" w:rsidRPr="00C61595" w:rsidRDefault="00C61595" w:rsidP="00C61595">
            <w:pPr>
              <w:spacing w:before="0" w:after="0"/>
              <w:jc w:val="right"/>
              <w:rPr>
                <w:rFonts w:ascii="DINPro-Medium" w:hAnsi="DINPro-Medium"/>
                <w:color w:val="000000"/>
                <w:sz w:val="22"/>
                <w:szCs w:val="22"/>
                <w:lang w:eastAsia="en-GB"/>
              </w:rPr>
            </w:pPr>
            <w:r w:rsidRPr="00C61595">
              <w:rPr>
                <w:rFonts w:ascii="DINPro-Medium" w:hAnsi="DINPro-Medium"/>
                <w:color w:val="000000"/>
                <w:sz w:val="22"/>
                <w:szCs w:val="22"/>
                <w:lang w:eastAsia="en-GB"/>
              </w:rPr>
              <w:t>60% co-financing rate</w:t>
            </w:r>
          </w:p>
        </w:tc>
        <w:tc>
          <w:tcPr>
            <w:tcW w:w="283" w:type="dxa"/>
            <w:tcBorders>
              <w:top w:val="nil"/>
              <w:bottom w:val="nil"/>
            </w:tcBorders>
            <w:shd w:val="clear" w:color="auto" w:fill="auto"/>
            <w:noWrap/>
            <w:vAlign w:val="bottom"/>
            <w:hideMark/>
          </w:tcPr>
          <w:p w:rsidR="00C61595" w:rsidRPr="00C61595" w:rsidRDefault="00C61595" w:rsidP="00C61595">
            <w:pPr>
              <w:spacing w:before="0" w:after="0"/>
              <w:jc w:val="left"/>
              <w:rPr>
                <w:rFonts w:ascii="Calibri" w:hAnsi="Calibri"/>
                <w:color w:val="000000"/>
                <w:sz w:val="22"/>
                <w:szCs w:val="22"/>
                <w:lang w:eastAsia="en-GB"/>
              </w:rPr>
            </w:pPr>
          </w:p>
        </w:tc>
        <w:tc>
          <w:tcPr>
            <w:tcW w:w="1843" w:type="dxa"/>
            <w:shd w:val="clear" w:color="auto" w:fill="DBE5F1" w:themeFill="accent1" w:themeFillTint="33"/>
            <w:vAlign w:val="center"/>
            <w:hideMark/>
          </w:tcPr>
          <w:p w:rsidR="00C61595" w:rsidRPr="00C61595" w:rsidRDefault="00C61595" w:rsidP="00C61595">
            <w:pPr>
              <w:spacing w:before="0" w:after="0"/>
              <w:jc w:val="left"/>
              <w:rPr>
                <w:rFonts w:ascii="DINPro-Medium" w:hAnsi="DINPro-Medium"/>
                <w:color w:val="000000"/>
                <w:sz w:val="22"/>
                <w:szCs w:val="22"/>
                <w:lang w:eastAsia="en-GB"/>
              </w:rPr>
            </w:pPr>
            <w:r w:rsidRPr="00C61595">
              <w:rPr>
                <w:rFonts w:ascii="DINPro-Medium" w:hAnsi="DINPro-Medium"/>
                <w:color w:val="000000"/>
                <w:sz w:val="22"/>
                <w:szCs w:val="22"/>
                <w:lang w:eastAsia="en-GB"/>
              </w:rPr>
              <w:t>COUNTRY</w:t>
            </w:r>
          </w:p>
        </w:tc>
        <w:tc>
          <w:tcPr>
            <w:tcW w:w="1417" w:type="dxa"/>
            <w:shd w:val="clear" w:color="auto" w:fill="DBE5F1" w:themeFill="accent1" w:themeFillTint="33"/>
            <w:vAlign w:val="center"/>
            <w:hideMark/>
          </w:tcPr>
          <w:p w:rsidR="00C61595" w:rsidRPr="00C61595" w:rsidRDefault="00C61595" w:rsidP="00C61595">
            <w:pPr>
              <w:spacing w:before="0" w:after="0"/>
              <w:jc w:val="right"/>
              <w:rPr>
                <w:rFonts w:ascii="DINPro-Medium" w:hAnsi="DINPro-Medium"/>
                <w:color w:val="000000"/>
                <w:sz w:val="22"/>
                <w:szCs w:val="22"/>
                <w:lang w:eastAsia="en-GB"/>
              </w:rPr>
            </w:pPr>
            <w:r w:rsidRPr="00C61595">
              <w:rPr>
                <w:rFonts w:ascii="DINPro-Medium" w:hAnsi="DINPro-Medium"/>
                <w:color w:val="000000"/>
                <w:sz w:val="22"/>
                <w:szCs w:val="22"/>
                <w:lang w:eastAsia="en-GB"/>
              </w:rPr>
              <w:t>Official per diem rate</w:t>
            </w:r>
          </w:p>
        </w:tc>
        <w:tc>
          <w:tcPr>
            <w:tcW w:w="1276" w:type="dxa"/>
            <w:shd w:val="clear" w:color="auto" w:fill="DBE5F1" w:themeFill="accent1" w:themeFillTint="33"/>
            <w:vAlign w:val="center"/>
            <w:hideMark/>
          </w:tcPr>
          <w:p w:rsidR="00C61595" w:rsidRPr="00C61595" w:rsidRDefault="00C61595" w:rsidP="00C61595">
            <w:pPr>
              <w:spacing w:before="0" w:after="0"/>
              <w:jc w:val="right"/>
              <w:rPr>
                <w:rFonts w:ascii="DINPro-Medium" w:hAnsi="DINPro-Medium"/>
                <w:color w:val="000000"/>
                <w:sz w:val="22"/>
                <w:szCs w:val="22"/>
                <w:lang w:eastAsia="en-GB"/>
              </w:rPr>
            </w:pPr>
            <w:r w:rsidRPr="00C61595">
              <w:rPr>
                <w:rFonts w:ascii="DINPro-Medium" w:hAnsi="DINPro-Medium"/>
                <w:color w:val="000000"/>
                <w:sz w:val="22"/>
                <w:szCs w:val="22"/>
                <w:lang w:eastAsia="en-GB"/>
              </w:rPr>
              <w:t>60% co-financing rate</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ALBANIA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€210</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€126</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LATVIA</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€190</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€114</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ALGERIA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€284</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€170</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LEBANON</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€200</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€120</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ARGENTINA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€257</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€154</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LIBYAN ARAB JAMAHARIJA</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€165</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€99</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AUSTRALIA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€251</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€151</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LITHUANIA</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€165</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€99</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AUSTRIA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€203</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€122</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LUXEMBOURG</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€213</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€128</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BAHAMAS</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€229</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€137</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MALAYSIA</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€164</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€98</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BAHRAIN</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€239</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€143</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MEXICO</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€214</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€128</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BANGLADESH</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€173</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€104</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MONACO</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€241</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€145</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BELGIUM</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€218</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€131</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MOROCCO</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€161</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€97</w:t>
            </w:r>
          </w:p>
        </w:tc>
      </w:tr>
      <w:tr w:rsidR="00AA4016" w:rsidRPr="00C61595" w:rsidTr="00AA4016">
        <w:trPr>
          <w:trHeight w:hRule="exact" w:val="428"/>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BOSNIA and HERZERGOVINA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€117</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€70</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NETHERLANDS</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€237</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€142</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BRAZIL</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€213</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€128</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NEW ZEALAND</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€254</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€152</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BULGARIA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€204</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€122</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NIGERIA</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€194</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€116</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CANADA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€237</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€142</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NORWAY</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€249</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€149</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CHILE</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€164</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€98</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OMAN</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€247</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€148</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CHINA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€193</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€116</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PAKISTAN</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€140</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€84</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COLOMBIA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€188</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€113</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PHILIPPINES</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€162</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€97</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CROATIA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€202</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€121</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POLAND</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€195</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€117</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CUBA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€145</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€87</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PORTUGAL</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€184</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€110</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CYPRUS</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€214</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€128</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QATAR</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€275</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€165</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CZECH REPUBLIC</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€207</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€124</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ROMANIA</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€200</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€120</w:t>
            </w:r>
          </w:p>
        </w:tc>
      </w:tr>
      <w:tr w:rsidR="00AA4016" w:rsidRPr="00C61595" w:rsidTr="00AA4016">
        <w:trPr>
          <w:trHeight w:hRule="exact" w:val="405"/>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DENMARK</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€243</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€146</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RUSSIAN FEDERATION</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€329</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€197</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EGYPT</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€203</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€122</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SAUDI ARABIA</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€310</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€186</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ESTONIA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€163</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€98</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SINGAPORE</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€307</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€184</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ETHIOPIA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€227</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€136</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SLOVAK REPUBLIC</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€185</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€111</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FINLAND</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€220</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€132</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SLOVENIA</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€162</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€97</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FRANCE</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€221</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€133</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SOMALIA</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€123</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€74</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GEORGIA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€189</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€113</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SOUTH AFRICA</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€179</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€107</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GERMANY</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€187</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€112</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SPAIN</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€191</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€115</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GHANA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€231</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€139</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SRI LANKA</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€159</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€95</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GREECE</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€200</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€120</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SWEDEN</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€231</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€139</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HUNGARY</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€200</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€120</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SWITZERLAND</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€284</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€170</w:t>
            </w:r>
          </w:p>
        </w:tc>
      </w:tr>
      <w:tr w:rsidR="00AA4016" w:rsidRPr="00C61595" w:rsidTr="00AA4016">
        <w:trPr>
          <w:trHeight w:hRule="exact" w:val="423"/>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ICELAND</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€131</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€79</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SYRIAN ARAB REPUBLIC</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€233</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€140</w:t>
            </w:r>
          </w:p>
        </w:tc>
      </w:tr>
      <w:tr w:rsidR="00AA4016" w:rsidRPr="00C61595" w:rsidTr="00AA4016">
        <w:trPr>
          <w:trHeight w:hRule="exact" w:val="428"/>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INDIA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€227</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€136</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TANZANIA, UNITED REP. of</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€197</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€118</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INDONESIA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€164</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€98</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THAILAND</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€157</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€94</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IRELAND</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€229</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€137</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TUNISIA</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€149</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€89</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ISRAEL</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€284</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€170</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TURKEY ANKARRA</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€128</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€77</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ITALY</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€207</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€124</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TURKEY ISTANBUL</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€173</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€104</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lastRenderedPageBreak/>
              <w:t>JAMAICA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€183</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€110</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UKRAINE</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€287</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€172</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JAPAN</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€276</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€166</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UNITED ARAB EMIRATES</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€236</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€142</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JORDAN</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€181</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€109</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UNITED KINGDOM</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€248</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€149</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KENYA</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€242</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€145</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URUGUAY</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€191</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€115</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 xml:space="preserve">KOREA, REPUBLIC OF </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€292</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€175</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USA</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€251</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€151</w:t>
            </w:r>
          </w:p>
        </w:tc>
      </w:tr>
      <w:tr w:rsidR="00AA4016" w:rsidRPr="00C61595" w:rsidTr="00AA4016">
        <w:trPr>
          <w:trHeight w:hRule="exact" w:val="284"/>
        </w:trPr>
        <w:tc>
          <w:tcPr>
            <w:tcW w:w="2002"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KUWAIT</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€251</w:t>
            </w:r>
          </w:p>
        </w:tc>
        <w:tc>
          <w:tcPr>
            <w:tcW w:w="1134"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€151</w:t>
            </w:r>
          </w:p>
        </w:tc>
        <w:tc>
          <w:tcPr>
            <w:tcW w:w="283" w:type="dxa"/>
            <w:tcBorders>
              <w:top w:val="nil"/>
              <w:bottom w:val="nil"/>
            </w:tcBorders>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p>
        </w:tc>
        <w:tc>
          <w:tcPr>
            <w:tcW w:w="1843" w:type="dxa"/>
            <w:shd w:val="clear" w:color="auto" w:fill="auto"/>
            <w:noWrap/>
            <w:vAlign w:val="bottom"/>
            <w:hideMark/>
          </w:tcPr>
          <w:p w:rsidR="00C61595" w:rsidRPr="00AA4016" w:rsidRDefault="00C61595" w:rsidP="00C61595">
            <w:pPr>
              <w:spacing w:before="0" w:after="0"/>
              <w:jc w:val="left"/>
              <w:rPr>
                <w:rFonts w:ascii="DINPro" w:hAnsi="DINPro"/>
                <w:color w:val="000000"/>
                <w:sz w:val="16"/>
                <w:szCs w:val="16"/>
                <w:lang w:eastAsia="en-GB"/>
              </w:rPr>
            </w:pPr>
            <w:r w:rsidRPr="00AA4016">
              <w:rPr>
                <w:rFonts w:ascii="DINPro" w:hAnsi="DINPro"/>
                <w:color w:val="000000"/>
                <w:sz w:val="16"/>
                <w:szCs w:val="16"/>
                <w:lang w:eastAsia="en-GB"/>
              </w:rPr>
              <w:t>VENEZUELA</w:t>
            </w:r>
          </w:p>
        </w:tc>
        <w:tc>
          <w:tcPr>
            <w:tcW w:w="1417"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€290</w:t>
            </w:r>
          </w:p>
        </w:tc>
        <w:tc>
          <w:tcPr>
            <w:tcW w:w="1276" w:type="dxa"/>
            <w:shd w:val="clear" w:color="auto" w:fill="auto"/>
            <w:noWrap/>
            <w:vAlign w:val="bottom"/>
            <w:hideMark/>
          </w:tcPr>
          <w:p w:rsidR="00C61595" w:rsidRPr="00AA4016" w:rsidRDefault="00C61595" w:rsidP="00C61595">
            <w:pPr>
              <w:spacing w:before="0" w:after="0"/>
              <w:jc w:val="right"/>
              <w:rPr>
                <w:rFonts w:ascii="DINPro" w:hAnsi="DINPro"/>
                <w:color w:val="000000"/>
                <w:sz w:val="16"/>
                <w:szCs w:val="16"/>
                <w:lang w:eastAsia="en-GB"/>
              </w:rPr>
            </w:pPr>
            <w:r w:rsidRPr="00AA4016">
              <w:rPr>
                <w:rFonts w:ascii="DINPro" w:hAnsi="DINPro"/>
                <w:color w:val="000000"/>
                <w:sz w:val="16"/>
                <w:szCs w:val="16"/>
                <w:lang w:eastAsia="en-GB"/>
              </w:rPr>
              <w:t>€174</w:t>
            </w:r>
          </w:p>
        </w:tc>
      </w:tr>
    </w:tbl>
    <w:p w:rsidR="00751F8C" w:rsidRPr="00C04844" w:rsidRDefault="00751F8C" w:rsidP="00D523DC">
      <w:pPr>
        <w:rPr>
          <w:rFonts w:ascii="Verdana" w:hAnsi="Verdana"/>
          <w:sz w:val="16"/>
          <w:szCs w:val="16"/>
        </w:rPr>
      </w:pPr>
    </w:p>
    <w:sectPr w:rsidR="00751F8C" w:rsidRPr="00C04844" w:rsidSect="000051F3">
      <w:footerReference w:type="default" r:id="rId21"/>
      <w:pgSz w:w="12240" w:h="15840"/>
      <w:pgMar w:top="1440" w:right="900"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5B2" w:rsidRDefault="00DB55B2">
      <w:r>
        <w:separator/>
      </w:r>
    </w:p>
  </w:endnote>
  <w:endnote w:type="continuationSeparator" w:id="0">
    <w:p w:rsidR="00DB55B2" w:rsidRDefault="00DB5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INPro-Medium">
    <w:panose1 w:val="020B0604020101020102"/>
    <w:charset w:val="00"/>
    <w:family w:val="swiss"/>
    <w:notTrueType/>
    <w:pitch w:val="variable"/>
    <w:sig w:usb0="A00002BF" w:usb1="4000207B" w:usb2="00000000" w:usb3="00000000" w:csb0="0000009F" w:csb1="00000000"/>
  </w:font>
  <w:font w:name="DINPro">
    <w:panose1 w:val="020B0504020101020102"/>
    <w:charset w:val="00"/>
    <w:family w:val="swiss"/>
    <w:notTrueType/>
    <w:pitch w:val="variable"/>
    <w:sig w:usb0="A00002B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88" w:rsidRDefault="00945688" w:rsidP="00BE4D24">
    <w:pPr>
      <w:pStyle w:val="Footer"/>
    </w:pPr>
    <w:r>
      <w:tab/>
    </w:r>
    <w:r>
      <w:tab/>
    </w:r>
    <w:r w:rsidRPr="002A332A">
      <w:t>Exploratory Award FP7</w:t>
    </w:r>
    <w:r>
      <w:t xml:space="preserve">                                             </w:t>
    </w:r>
  </w:p>
  <w:p w:rsidR="00945688" w:rsidRDefault="00945688" w:rsidP="00D3164A">
    <w:pPr>
      <w:pStyle w:val="Footer"/>
    </w:pPr>
    <w:r w:rsidRPr="00D96119">
      <w:t>Version</w:t>
    </w:r>
    <w:r>
      <w:t xml:space="preserve"> 1.4  </w:t>
    </w:r>
  </w:p>
  <w:p w:rsidR="00945688" w:rsidRPr="00B01C5A" w:rsidRDefault="00945688" w:rsidP="00BE4D24">
    <w:pPr>
      <w:pStyle w:val="Footer"/>
    </w:pPr>
    <w:r w:rsidRPr="00D96119">
      <w:tab/>
      <w:t xml:space="preserve">Page </w:t>
    </w:r>
    <w:fldSimple w:instr=" PAGE ">
      <w:r w:rsidR="008A03DE">
        <w:t>1</w:t>
      </w:r>
    </w:fldSimple>
    <w:r w:rsidRPr="00D96119">
      <w:t xml:space="preserve"> of </w:t>
    </w:r>
    <w:fldSimple w:instr=" NUMPAGES ">
      <w:r w:rsidR="008A03DE">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5B2" w:rsidRDefault="00DB55B2">
      <w:r>
        <w:separator/>
      </w:r>
    </w:p>
  </w:footnote>
  <w:footnote w:type="continuationSeparator" w:id="0">
    <w:p w:rsidR="00DB55B2" w:rsidRDefault="00DB5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328"/>
    <w:multiLevelType w:val="multilevel"/>
    <w:tmpl w:val="4158572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C2188E"/>
    <w:multiLevelType w:val="hybridMultilevel"/>
    <w:tmpl w:val="89A62AA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C73BAB"/>
    <w:multiLevelType w:val="hybridMultilevel"/>
    <w:tmpl w:val="98AA58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C0AB3"/>
    <w:multiLevelType w:val="multilevel"/>
    <w:tmpl w:val="71147F5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BD69E5"/>
    <w:multiLevelType w:val="hybridMultilevel"/>
    <w:tmpl w:val="0FF2210E"/>
    <w:lvl w:ilvl="0" w:tplc="0409000F">
      <w:start w:val="1"/>
      <w:numFmt w:val="decimal"/>
      <w:lvlText w:val="%1."/>
      <w:lvlJc w:val="left"/>
      <w:pPr>
        <w:tabs>
          <w:tab w:val="num" w:pos="720"/>
        </w:tabs>
        <w:ind w:left="720" w:hanging="360"/>
      </w:pPr>
    </w:lvl>
    <w:lvl w:ilvl="1" w:tplc="760AFDCE">
      <w:start w:val="1"/>
      <w:numFmt w:val="bullet"/>
      <w:pStyle w:val="Bullets"/>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4306DC"/>
    <w:multiLevelType w:val="hybridMultilevel"/>
    <w:tmpl w:val="E20EC71E"/>
    <w:lvl w:ilvl="0" w:tplc="F35EE87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522372"/>
    <w:multiLevelType w:val="hybridMultilevel"/>
    <w:tmpl w:val="81CE5742"/>
    <w:lvl w:ilvl="0" w:tplc="08090017">
      <w:start w:val="1"/>
      <w:numFmt w:val="lowerLetter"/>
      <w:lvlText w:val="%1)"/>
      <w:lvlJc w:val="left"/>
      <w:pPr>
        <w:tabs>
          <w:tab w:val="num" w:pos="1751"/>
        </w:tabs>
        <w:ind w:left="1751" w:hanging="360"/>
      </w:pPr>
    </w:lvl>
    <w:lvl w:ilvl="1" w:tplc="08090019" w:tentative="1">
      <w:start w:val="1"/>
      <w:numFmt w:val="lowerLetter"/>
      <w:lvlText w:val="%2."/>
      <w:lvlJc w:val="left"/>
      <w:pPr>
        <w:tabs>
          <w:tab w:val="num" w:pos="2291"/>
        </w:tabs>
        <w:ind w:left="2291" w:hanging="360"/>
      </w:pPr>
    </w:lvl>
    <w:lvl w:ilvl="2" w:tplc="0809001B" w:tentative="1">
      <w:start w:val="1"/>
      <w:numFmt w:val="lowerRoman"/>
      <w:lvlText w:val="%3."/>
      <w:lvlJc w:val="right"/>
      <w:pPr>
        <w:tabs>
          <w:tab w:val="num" w:pos="3011"/>
        </w:tabs>
        <w:ind w:left="3011" w:hanging="180"/>
      </w:pPr>
    </w:lvl>
    <w:lvl w:ilvl="3" w:tplc="0809000F" w:tentative="1">
      <w:start w:val="1"/>
      <w:numFmt w:val="decimal"/>
      <w:lvlText w:val="%4."/>
      <w:lvlJc w:val="left"/>
      <w:pPr>
        <w:tabs>
          <w:tab w:val="num" w:pos="3731"/>
        </w:tabs>
        <w:ind w:left="3731" w:hanging="360"/>
      </w:pPr>
    </w:lvl>
    <w:lvl w:ilvl="4" w:tplc="08090019" w:tentative="1">
      <w:start w:val="1"/>
      <w:numFmt w:val="lowerLetter"/>
      <w:lvlText w:val="%5."/>
      <w:lvlJc w:val="left"/>
      <w:pPr>
        <w:tabs>
          <w:tab w:val="num" w:pos="4451"/>
        </w:tabs>
        <w:ind w:left="4451" w:hanging="360"/>
      </w:pPr>
    </w:lvl>
    <w:lvl w:ilvl="5" w:tplc="0809001B" w:tentative="1">
      <w:start w:val="1"/>
      <w:numFmt w:val="lowerRoman"/>
      <w:lvlText w:val="%6."/>
      <w:lvlJc w:val="right"/>
      <w:pPr>
        <w:tabs>
          <w:tab w:val="num" w:pos="5171"/>
        </w:tabs>
        <w:ind w:left="5171" w:hanging="180"/>
      </w:pPr>
    </w:lvl>
    <w:lvl w:ilvl="6" w:tplc="0809000F" w:tentative="1">
      <w:start w:val="1"/>
      <w:numFmt w:val="decimal"/>
      <w:lvlText w:val="%7."/>
      <w:lvlJc w:val="left"/>
      <w:pPr>
        <w:tabs>
          <w:tab w:val="num" w:pos="5891"/>
        </w:tabs>
        <w:ind w:left="5891" w:hanging="360"/>
      </w:pPr>
    </w:lvl>
    <w:lvl w:ilvl="7" w:tplc="08090019" w:tentative="1">
      <w:start w:val="1"/>
      <w:numFmt w:val="lowerLetter"/>
      <w:lvlText w:val="%8."/>
      <w:lvlJc w:val="left"/>
      <w:pPr>
        <w:tabs>
          <w:tab w:val="num" w:pos="6611"/>
        </w:tabs>
        <w:ind w:left="6611" w:hanging="360"/>
      </w:pPr>
    </w:lvl>
    <w:lvl w:ilvl="8" w:tplc="0809001B" w:tentative="1">
      <w:start w:val="1"/>
      <w:numFmt w:val="lowerRoman"/>
      <w:lvlText w:val="%9."/>
      <w:lvlJc w:val="right"/>
      <w:pPr>
        <w:tabs>
          <w:tab w:val="num" w:pos="7331"/>
        </w:tabs>
        <w:ind w:left="7331" w:hanging="180"/>
      </w:pPr>
    </w:lvl>
  </w:abstractNum>
  <w:abstractNum w:abstractNumId="7">
    <w:nsid w:val="1AC1064E"/>
    <w:multiLevelType w:val="hybridMultilevel"/>
    <w:tmpl w:val="4336D8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7A5BF9"/>
    <w:multiLevelType w:val="hybridMultilevel"/>
    <w:tmpl w:val="40C63780"/>
    <w:lvl w:ilvl="0" w:tplc="6A8842AE">
      <w:start w:val="1"/>
      <w:numFmt w:val="bullet"/>
      <w:pStyle w:val="GuideLineBullets"/>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13733D"/>
    <w:multiLevelType w:val="hybridMultilevel"/>
    <w:tmpl w:val="9AB45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3F7955"/>
    <w:multiLevelType w:val="hybridMultilevel"/>
    <w:tmpl w:val="EE0CF60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924C8B"/>
    <w:multiLevelType w:val="multilevel"/>
    <w:tmpl w:val="6422EB00"/>
    <w:lvl w:ilvl="0">
      <w:start w:val="1"/>
      <w:numFmt w:val="upperRoman"/>
      <w:lvlText w:val="%1."/>
      <w:lvlJc w:val="right"/>
      <w:pPr>
        <w:tabs>
          <w:tab w:val="num" w:pos="1031"/>
        </w:tabs>
        <w:ind w:left="1031"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8F0039"/>
    <w:multiLevelType w:val="hybridMultilevel"/>
    <w:tmpl w:val="7C203D2E"/>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7E7BD4"/>
    <w:multiLevelType w:val="hybridMultilevel"/>
    <w:tmpl w:val="8092E1F6"/>
    <w:lvl w:ilvl="0" w:tplc="760AFDCE">
      <w:start w:val="1"/>
      <w:numFmt w:val="upperRoman"/>
      <w:lvlText w:val="%1."/>
      <w:lvlJc w:val="right"/>
      <w:pPr>
        <w:tabs>
          <w:tab w:val="num" w:pos="1031"/>
        </w:tabs>
        <w:ind w:left="1031" w:hanging="180"/>
      </w:pPr>
      <w:rPr>
        <w:rFonts w:hint="default"/>
      </w:r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3210597C"/>
    <w:multiLevelType w:val="hybridMultilevel"/>
    <w:tmpl w:val="878215AE"/>
    <w:lvl w:ilvl="0" w:tplc="04090013">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992625"/>
    <w:multiLevelType w:val="hybridMultilevel"/>
    <w:tmpl w:val="25C446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E9146F"/>
    <w:multiLevelType w:val="hybridMultilevel"/>
    <w:tmpl w:val="499EAD40"/>
    <w:lvl w:ilvl="0" w:tplc="760AFDCE">
      <w:start w:val="1"/>
      <w:numFmt w:val="upperRoman"/>
      <w:lvlText w:val="%1."/>
      <w:lvlJc w:val="right"/>
      <w:pPr>
        <w:tabs>
          <w:tab w:val="num" w:pos="720"/>
        </w:tabs>
        <w:ind w:left="720" w:hanging="18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38F606E3"/>
    <w:multiLevelType w:val="hybridMultilevel"/>
    <w:tmpl w:val="E42057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10260D"/>
    <w:multiLevelType w:val="hybridMultilevel"/>
    <w:tmpl w:val="F2D0CA0E"/>
    <w:lvl w:ilvl="0" w:tplc="0409000F">
      <w:start w:val="1"/>
      <w:numFmt w:val="decimal"/>
      <w:lvlText w:val="%1."/>
      <w:lvlJc w:val="left"/>
      <w:pPr>
        <w:tabs>
          <w:tab w:val="num" w:pos="720"/>
        </w:tabs>
        <w:ind w:left="720" w:hanging="360"/>
      </w:pPr>
    </w:lvl>
    <w:lvl w:ilvl="1" w:tplc="760AFDC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4167B2"/>
    <w:multiLevelType w:val="hybridMultilevel"/>
    <w:tmpl w:val="0FC8D7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7A00B5"/>
    <w:multiLevelType w:val="multilevel"/>
    <w:tmpl w:val="8092E1F6"/>
    <w:lvl w:ilvl="0">
      <w:start w:val="1"/>
      <w:numFmt w:val="upperRoman"/>
      <w:lvlText w:val="%1."/>
      <w:lvlJc w:val="right"/>
      <w:pPr>
        <w:tabs>
          <w:tab w:val="num" w:pos="1031"/>
        </w:tabs>
        <w:ind w:left="1031"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1C531A"/>
    <w:multiLevelType w:val="hybridMultilevel"/>
    <w:tmpl w:val="B67E82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8C5CEF"/>
    <w:multiLevelType w:val="hybridMultilevel"/>
    <w:tmpl w:val="0B700D82"/>
    <w:lvl w:ilvl="0" w:tplc="85D24F92">
      <w:start w:val="1"/>
      <w:numFmt w:val="lowerRoman"/>
      <w:lvlText w:val="%1."/>
      <w:lvlJc w:val="right"/>
      <w:pPr>
        <w:tabs>
          <w:tab w:val="num" w:pos="1031"/>
        </w:tabs>
        <w:ind w:left="1031" w:hanging="180"/>
      </w:pPr>
      <w:rPr>
        <w:rFonts w:hint="default"/>
      </w:rPr>
    </w:lvl>
    <w:lvl w:ilvl="1" w:tplc="0BAC2B70" w:tentative="1">
      <w:start w:val="1"/>
      <w:numFmt w:val="lowerLetter"/>
      <w:lvlText w:val="%2."/>
      <w:lvlJc w:val="left"/>
      <w:pPr>
        <w:tabs>
          <w:tab w:val="num" w:pos="1440"/>
        </w:tabs>
        <w:ind w:left="1440" w:hanging="360"/>
      </w:pPr>
    </w:lvl>
    <w:lvl w:ilvl="2" w:tplc="BB86A128" w:tentative="1">
      <w:start w:val="1"/>
      <w:numFmt w:val="lowerRoman"/>
      <w:lvlText w:val="%3."/>
      <w:lvlJc w:val="right"/>
      <w:pPr>
        <w:tabs>
          <w:tab w:val="num" w:pos="2160"/>
        </w:tabs>
        <w:ind w:left="2160" w:hanging="180"/>
      </w:pPr>
    </w:lvl>
    <w:lvl w:ilvl="3" w:tplc="1CF8C224" w:tentative="1">
      <w:start w:val="1"/>
      <w:numFmt w:val="decimal"/>
      <w:lvlText w:val="%4."/>
      <w:lvlJc w:val="left"/>
      <w:pPr>
        <w:tabs>
          <w:tab w:val="num" w:pos="2880"/>
        </w:tabs>
        <w:ind w:left="2880" w:hanging="360"/>
      </w:pPr>
    </w:lvl>
    <w:lvl w:ilvl="4" w:tplc="5E08BD22" w:tentative="1">
      <w:start w:val="1"/>
      <w:numFmt w:val="lowerLetter"/>
      <w:lvlText w:val="%5."/>
      <w:lvlJc w:val="left"/>
      <w:pPr>
        <w:tabs>
          <w:tab w:val="num" w:pos="3600"/>
        </w:tabs>
        <w:ind w:left="3600" w:hanging="360"/>
      </w:pPr>
    </w:lvl>
    <w:lvl w:ilvl="5" w:tplc="644C4E9A" w:tentative="1">
      <w:start w:val="1"/>
      <w:numFmt w:val="lowerRoman"/>
      <w:lvlText w:val="%6."/>
      <w:lvlJc w:val="right"/>
      <w:pPr>
        <w:tabs>
          <w:tab w:val="num" w:pos="4320"/>
        </w:tabs>
        <w:ind w:left="4320" w:hanging="180"/>
      </w:pPr>
    </w:lvl>
    <w:lvl w:ilvl="6" w:tplc="BC28E53E" w:tentative="1">
      <w:start w:val="1"/>
      <w:numFmt w:val="decimal"/>
      <w:lvlText w:val="%7."/>
      <w:lvlJc w:val="left"/>
      <w:pPr>
        <w:tabs>
          <w:tab w:val="num" w:pos="5040"/>
        </w:tabs>
        <w:ind w:left="5040" w:hanging="360"/>
      </w:pPr>
    </w:lvl>
    <w:lvl w:ilvl="7" w:tplc="22463A7E" w:tentative="1">
      <w:start w:val="1"/>
      <w:numFmt w:val="lowerLetter"/>
      <w:lvlText w:val="%8."/>
      <w:lvlJc w:val="left"/>
      <w:pPr>
        <w:tabs>
          <w:tab w:val="num" w:pos="5760"/>
        </w:tabs>
        <w:ind w:left="5760" w:hanging="360"/>
      </w:pPr>
    </w:lvl>
    <w:lvl w:ilvl="8" w:tplc="4E547DE2" w:tentative="1">
      <w:start w:val="1"/>
      <w:numFmt w:val="lowerRoman"/>
      <w:lvlText w:val="%9."/>
      <w:lvlJc w:val="right"/>
      <w:pPr>
        <w:tabs>
          <w:tab w:val="num" w:pos="6480"/>
        </w:tabs>
        <w:ind w:left="6480" w:hanging="180"/>
      </w:pPr>
    </w:lvl>
  </w:abstractNum>
  <w:abstractNum w:abstractNumId="23">
    <w:nsid w:val="47960AC3"/>
    <w:multiLevelType w:val="hybridMultilevel"/>
    <w:tmpl w:val="12CA1C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7C6E1A"/>
    <w:multiLevelType w:val="hybridMultilevel"/>
    <w:tmpl w:val="53FAFBDA"/>
    <w:lvl w:ilvl="0" w:tplc="0409000F">
      <w:start w:val="1"/>
      <w:numFmt w:val="decimal"/>
      <w:lvlText w:val="%1."/>
      <w:lvlJc w:val="left"/>
      <w:pPr>
        <w:tabs>
          <w:tab w:val="num" w:pos="360"/>
        </w:tabs>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41F7ED6"/>
    <w:multiLevelType w:val="hybridMultilevel"/>
    <w:tmpl w:val="68260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9477E8"/>
    <w:multiLevelType w:val="hybridMultilevel"/>
    <w:tmpl w:val="7E68CACC"/>
    <w:lvl w:ilvl="0" w:tplc="DE2277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594C74"/>
    <w:multiLevelType w:val="hybridMultilevel"/>
    <w:tmpl w:val="85A81D9A"/>
    <w:lvl w:ilvl="0" w:tplc="0409000F">
      <w:start w:val="1"/>
      <w:numFmt w:val="bullet"/>
      <w:lvlText w:val=""/>
      <w:lvlJc w:val="left"/>
      <w:pPr>
        <w:tabs>
          <w:tab w:val="num" w:pos="720"/>
        </w:tabs>
        <w:ind w:left="720" w:hanging="360"/>
      </w:pPr>
      <w:rPr>
        <w:rFonts w:ascii="Wingdings" w:hAnsi="Wingdings" w:hint="default"/>
      </w:rPr>
    </w:lvl>
    <w:lvl w:ilvl="1" w:tplc="760AFDC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606259A4"/>
    <w:multiLevelType w:val="hybridMultilevel"/>
    <w:tmpl w:val="0C96121C"/>
    <w:lvl w:ilvl="0" w:tplc="DE2277CE">
      <w:start w:val="1"/>
      <w:numFmt w:val="lowerRoman"/>
      <w:lvlText w:val="%1."/>
      <w:lvlJc w:val="right"/>
      <w:pPr>
        <w:tabs>
          <w:tab w:val="num" w:pos="1031"/>
        </w:tabs>
        <w:ind w:left="1031"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6F08AB"/>
    <w:multiLevelType w:val="hybridMultilevel"/>
    <w:tmpl w:val="713EDE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ACB2A6D"/>
    <w:multiLevelType w:val="hybridMultilevel"/>
    <w:tmpl w:val="A0509B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AD5CDF"/>
    <w:multiLevelType w:val="hybridMultilevel"/>
    <w:tmpl w:val="D862B7A4"/>
    <w:lvl w:ilvl="0" w:tplc="1FC8A11A">
      <w:start w:val="1"/>
      <w:numFmt w:val="lowerRoman"/>
      <w:lvlText w:val="%1."/>
      <w:lvlJc w:val="right"/>
      <w:pPr>
        <w:tabs>
          <w:tab w:val="num" w:pos="1260"/>
        </w:tabs>
        <w:ind w:left="1260" w:hanging="18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0F00560"/>
    <w:multiLevelType w:val="hybridMultilevel"/>
    <w:tmpl w:val="E8D6F8F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4BB7900"/>
    <w:multiLevelType w:val="hybridMultilevel"/>
    <w:tmpl w:val="53FAFBDA"/>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4F11419"/>
    <w:multiLevelType w:val="hybridMultilevel"/>
    <w:tmpl w:val="56E28F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1A518F"/>
    <w:multiLevelType w:val="hybridMultilevel"/>
    <w:tmpl w:val="684CA978"/>
    <w:lvl w:ilvl="0" w:tplc="0409000D">
      <w:start w:val="1"/>
      <w:numFmt w:val="lowerRoman"/>
      <w:lvlText w:val="%1."/>
      <w:lvlJc w:val="right"/>
      <w:pPr>
        <w:tabs>
          <w:tab w:val="num" w:pos="1031"/>
        </w:tabs>
        <w:ind w:left="1031" w:hanging="18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7E253366"/>
    <w:multiLevelType w:val="multilevel"/>
    <w:tmpl w:val="86E0DA20"/>
    <w:lvl w:ilvl="0">
      <w:start w:val="1"/>
      <w:numFmt w:val="decimal"/>
      <w:lvlText w:val="%1."/>
      <w:lvlJc w:val="left"/>
      <w:pPr>
        <w:tabs>
          <w:tab w:val="num" w:pos="720"/>
        </w:tabs>
        <w:ind w:left="720" w:hanging="360"/>
      </w:pPr>
    </w:lvl>
    <w:lvl w:ilvl="1">
      <w:start w:val="2"/>
      <w:numFmt w:val="decimal"/>
      <w:isLgl/>
      <w:lvlText w:val="%1.%2"/>
      <w:lvlJc w:val="left"/>
      <w:pPr>
        <w:tabs>
          <w:tab w:val="num" w:pos="945"/>
        </w:tabs>
        <w:ind w:left="945" w:hanging="585"/>
      </w:pPr>
      <w:rPr>
        <w:rFonts w:cs="Arial" w:hint="default"/>
        <w:sz w:val="24"/>
      </w:rPr>
    </w:lvl>
    <w:lvl w:ilvl="2">
      <w:start w:val="1"/>
      <w:numFmt w:val="decimal"/>
      <w:isLgl/>
      <w:lvlText w:val="%1.%2.%3"/>
      <w:lvlJc w:val="left"/>
      <w:pPr>
        <w:tabs>
          <w:tab w:val="num" w:pos="1080"/>
        </w:tabs>
        <w:ind w:left="1080" w:hanging="720"/>
      </w:pPr>
      <w:rPr>
        <w:rFonts w:cs="Arial" w:hint="default"/>
        <w:sz w:val="24"/>
      </w:rPr>
    </w:lvl>
    <w:lvl w:ilvl="3">
      <w:start w:val="1"/>
      <w:numFmt w:val="decimal"/>
      <w:isLgl/>
      <w:lvlText w:val="%1.%2.%3.%4"/>
      <w:lvlJc w:val="left"/>
      <w:pPr>
        <w:tabs>
          <w:tab w:val="num" w:pos="1080"/>
        </w:tabs>
        <w:ind w:left="1080" w:hanging="720"/>
      </w:pPr>
      <w:rPr>
        <w:rFonts w:cs="Arial" w:hint="default"/>
        <w:sz w:val="24"/>
      </w:rPr>
    </w:lvl>
    <w:lvl w:ilvl="4">
      <w:start w:val="1"/>
      <w:numFmt w:val="decimal"/>
      <w:isLgl/>
      <w:lvlText w:val="%1.%2.%3.%4.%5"/>
      <w:lvlJc w:val="left"/>
      <w:pPr>
        <w:tabs>
          <w:tab w:val="num" w:pos="1080"/>
        </w:tabs>
        <w:ind w:left="1080" w:hanging="720"/>
      </w:pPr>
      <w:rPr>
        <w:rFonts w:cs="Arial" w:hint="default"/>
        <w:sz w:val="24"/>
      </w:rPr>
    </w:lvl>
    <w:lvl w:ilvl="5">
      <w:start w:val="1"/>
      <w:numFmt w:val="decimal"/>
      <w:isLgl/>
      <w:lvlText w:val="%1.%2.%3.%4.%5.%6"/>
      <w:lvlJc w:val="left"/>
      <w:pPr>
        <w:tabs>
          <w:tab w:val="num" w:pos="1440"/>
        </w:tabs>
        <w:ind w:left="1440" w:hanging="1080"/>
      </w:pPr>
      <w:rPr>
        <w:rFonts w:cs="Arial" w:hint="default"/>
        <w:sz w:val="24"/>
      </w:rPr>
    </w:lvl>
    <w:lvl w:ilvl="6">
      <w:start w:val="1"/>
      <w:numFmt w:val="decimal"/>
      <w:isLgl/>
      <w:lvlText w:val="%1.%2.%3.%4.%5.%6.%7"/>
      <w:lvlJc w:val="left"/>
      <w:pPr>
        <w:tabs>
          <w:tab w:val="num" w:pos="1440"/>
        </w:tabs>
        <w:ind w:left="1440" w:hanging="1080"/>
      </w:pPr>
      <w:rPr>
        <w:rFonts w:cs="Arial" w:hint="default"/>
        <w:sz w:val="24"/>
      </w:rPr>
    </w:lvl>
    <w:lvl w:ilvl="7">
      <w:start w:val="1"/>
      <w:numFmt w:val="decimal"/>
      <w:isLgl/>
      <w:lvlText w:val="%1.%2.%3.%4.%5.%6.%7.%8"/>
      <w:lvlJc w:val="left"/>
      <w:pPr>
        <w:tabs>
          <w:tab w:val="num" w:pos="1800"/>
        </w:tabs>
        <w:ind w:left="1800" w:hanging="1440"/>
      </w:pPr>
      <w:rPr>
        <w:rFonts w:cs="Arial" w:hint="default"/>
        <w:sz w:val="24"/>
      </w:rPr>
    </w:lvl>
    <w:lvl w:ilvl="8">
      <w:start w:val="1"/>
      <w:numFmt w:val="decimal"/>
      <w:isLgl/>
      <w:lvlText w:val="%1.%2.%3.%4.%5.%6.%7.%8.%9"/>
      <w:lvlJc w:val="left"/>
      <w:pPr>
        <w:tabs>
          <w:tab w:val="num" w:pos="1800"/>
        </w:tabs>
        <w:ind w:left="1800" w:hanging="1440"/>
      </w:pPr>
      <w:rPr>
        <w:rFonts w:cs="Arial" w:hint="default"/>
        <w:sz w:val="24"/>
      </w:rPr>
    </w:lvl>
  </w:abstractNum>
  <w:abstractNum w:abstractNumId="37">
    <w:nsid w:val="7EAB2FE5"/>
    <w:multiLevelType w:val="multilevel"/>
    <w:tmpl w:val="1B84EFFC"/>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7"/>
  </w:num>
  <w:num w:numId="3">
    <w:abstractNumId w:val="4"/>
  </w:num>
  <w:num w:numId="4">
    <w:abstractNumId w:val="3"/>
  </w:num>
  <w:num w:numId="5">
    <w:abstractNumId w:val="27"/>
  </w:num>
  <w:num w:numId="6">
    <w:abstractNumId w:val="32"/>
  </w:num>
  <w:num w:numId="7">
    <w:abstractNumId w:val="34"/>
  </w:num>
  <w:num w:numId="8">
    <w:abstractNumId w:val="36"/>
  </w:num>
  <w:num w:numId="9">
    <w:abstractNumId w:val="26"/>
  </w:num>
  <w:num w:numId="10">
    <w:abstractNumId w:val="14"/>
  </w:num>
  <w:num w:numId="11">
    <w:abstractNumId w:val="18"/>
  </w:num>
  <w:num w:numId="12">
    <w:abstractNumId w:val="37"/>
  </w:num>
  <w:num w:numId="13">
    <w:abstractNumId w:val="16"/>
  </w:num>
  <w:num w:numId="14">
    <w:abstractNumId w:val="5"/>
  </w:num>
  <w:num w:numId="15">
    <w:abstractNumId w:val="35"/>
  </w:num>
  <w:num w:numId="16">
    <w:abstractNumId w:val="13"/>
  </w:num>
  <w:num w:numId="17">
    <w:abstractNumId w:val="11"/>
  </w:num>
  <w:num w:numId="18">
    <w:abstractNumId w:val="20"/>
  </w:num>
  <w:num w:numId="19">
    <w:abstractNumId w:val="22"/>
  </w:num>
  <w:num w:numId="20">
    <w:abstractNumId w:val="6"/>
  </w:num>
  <w:num w:numId="21">
    <w:abstractNumId w:val="29"/>
  </w:num>
  <w:num w:numId="22">
    <w:abstractNumId w:val="31"/>
  </w:num>
  <w:num w:numId="23">
    <w:abstractNumId w:val="0"/>
  </w:num>
  <w:num w:numId="24">
    <w:abstractNumId w:val="28"/>
  </w:num>
  <w:num w:numId="25">
    <w:abstractNumId w:val="25"/>
  </w:num>
  <w:num w:numId="26">
    <w:abstractNumId w:val="1"/>
  </w:num>
  <w:num w:numId="27">
    <w:abstractNumId w:val="33"/>
  </w:num>
  <w:num w:numId="28">
    <w:abstractNumId w:val="19"/>
  </w:num>
  <w:num w:numId="29">
    <w:abstractNumId w:val="10"/>
  </w:num>
  <w:num w:numId="30">
    <w:abstractNumId w:val="15"/>
  </w:num>
  <w:num w:numId="31">
    <w:abstractNumId w:val="30"/>
  </w:num>
  <w:num w:numId="32">
    <w:abstractNumId w:val="12"/>
  </w:num>
  <w:num w:numId="33">
    <w:abstractNumId w:val="24"/>
  </w:num>
  <w:num w:numId="34">
    <w:abstractNumId w:val="2"/>
  </w:num>
  <w:num w:numId="35">
    <w:abstractNumId w:val="23"/>
  </w:num>
  <w:num w:numId="36">
    <w:abstractNumId w:val="17"/>
  </w:num>
  <w:num w:numId="37">
    <w:abstractNumId w:val="9"/>
  </w:num>
  <w:num w:numId="38">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ocumentProtection w:edit="readOnly" w:enforcement="1" w:cryptProviderType="rsaFull" w:cryptAlgorithmClass="hash" w:cryptAlgorithmType="typeAny" w:cryptAlgorithmSid="4" w:cryptSpinCount="100000" w:hash="7dzeUzaeHeptLR1hhlLpc3VYHl8=" w:salt="lAMv84hc+d2T/9NReHlgEw=="/>
  <w:defaultTabStop w:val="720"/>
  <w:noPunctuationKerning/>
  <w:characterSpacingControl w:val="doNotCompress"/>
  <w:footnotePr>
    <w:footnote w:id="-1"/>
    <w:footnote w:id="0"/>
  </w:footnotePr>
  <w:endnotePr>
    <w:endnote w:id="-1"/>
    <w:endnote w:id="0"/>
  </w:endnotePr>
  <w:compat/>
  <w:rsids>
    <w:rsidRoot w:val="000D5E80"/>
    <w:rsid w:val="00000221"/>
    <w:rsid w:val="0000457F"/>
    <w:rsid w:val="000051F3"/>
    <w:rsid w:val="00005526"/>
    <w:rsid w:val="000062E1"/>
    <w:rsid w:val="00012BDD"/>
    <w:rsid w:val="00026224"/>
    <w:rsid w:val="00026B38"/>
    <w:rsid w:val="0002745B"/>
    <w:rsid w:val="000379FF"/>
    <w:rsid w:val="00037DA7"/>
    <w:rsid w:val="000410EB"/>
    <w:rsid w:val="00052347"/>
    <w:rsid w:val="0005294F"/>
    <w:rsid w:val="00074C49"/>
    <w:rsid w:val="00087A63"/>
    <w:rsid w:val="00096AB9"/>
    <w:rsid w:val="0009743A"/>
    <w:rsid w:val="000A7F3D"/>
    <w:rsid w:val="000B4375"/>
    <w:rsid w:val="000C21A4"/>
    <w:rsid w:val="000C5045"/>
    <w:rsid w:val="000D5E80"/>
    <w:rsid w:val="000E790A"/>
    <w:rsid w:val="000F1C1D"/>
    <w:rsid w:val="000F4204"/>
    <w:rsid w:val="00103C79"/>
    <w:rsid w:val="0010506C"/>
    <w:rsid w:val="00113184"/>
    <w:rsid w:val="001142D5"/>
    <w:rsid w:val="001207A6"/>
    <w:rsid w:val="0012282B"/>
    <w:rsid w:val="00130B59"/>
    <w:rsid w:val="00131704"/>
    <w:rsid w:val="00134954"/>
    <w:rsid w:val="00134D21"/>
    <w:rsid w:val="00150973"/>
    <w:rsid w:val="001523F6"/>
    <w:rsid w:val="00157DB5"/>
    <w:rsid w:val="00161626"/>
    <w:rsid w:val="001633F9"/>
    <w:rsid w:val="0016383B"/>
    <w:rsid w:val="00167BC7"/>
    <w:rsid w:val="00174C94"/>
    <w:rsid w:val="001779F1"/>
    <w:rsid w:val="001829AE"/>
    <w:rsid w:val="0019083D"/>
    <w:rsid w:val="001A05F0"/>
    <w:rsid w:val="001A1784"/>
    <w:rsid w:val="001B1DA9"/>
    <w:rsid w:val="001B6A2D"/>
    <w:rsid w:val="001C443C"/>
    <w:rsid w:val="001C5130"/>
    <w:rsid w:val="001C5F55"/>
    <w:rsid w:val="001E6F01"/>
    <w:rsid w:val="001F4ACD"/>
    <w:rsid w:val="00215544"/>
    <w:rsid w:val="00222121"/>
    <w:rsid w:val="00224766"/>
    <w:rsid w:val="00225FFD"/>
    <w:rsid w:val="00231E64"/>
    <w:rsid w:val="0023243D"/>
    <w:rsid w:val="00241015"/>
    <w:rsid w:val="00246CAE"/>
    <w:rsid w:val="00247DD4"/>
    <w:rsid w:val="00250477"/>
    <w:rsid w:val="002653E8"/>
    <w:rsid w:val="002673A6"/>
    <w:rsid w:val="00271ECB"/>
    <w:rsid w:val="00274F37"/>
    <w:rsid w:val="00276198"/>
    <w:rsid w:val="00284E16"/>
    <w:rsid w:val="0028702B"/>
    <w:rsid w:val="00295ED9"/>
    <w:rsid w:val="002A03EF"/>
    <w:rsid w:val="002A06A8"/>
    <w:rsid w:val="002A332A"/>
    <w:rsid w:val="002B0DE3"/>
    <w:rsid w:val="002B36E2"/>
    <w:rsid w:val="002B7C4C"/>
    <w:rsid w:val="002C1A20"/>
    <w:rsid w:val="002C53EB"/>
    <w:rsid w:val="002D0BB6"/>
    <w:rsid w:val="002D36E4"/>
    <w:rsid w:val="002D5969"/>
    <w:rsid w:val="002D5E88"/>
    <w:rsid w:val="002E17FF"/>
    <w:rsid w:val="002E5A66"/>
    <w:rsid w:val="002F119F"/>
    <w:rsid w:val="002F3A03"/>
    <w:rsid w:val="002F7225"/>
    <w:rsid w:val="0030395B"/>
    <w:rsid w:val="003043A3"/>
    <w:rsid w:val="00306758"/>
    <w:rsid w:val="00313131"/>
    <w:rsid w:val="00315CFB"/>
    <w:rsid w:val="0031608F"/>
    <w:rsid w:val="00323B5B"/>
    <w:rsid w:val="003315B5"/>
    <w:rsid w:val="00332608"/>
    <w:rsid w:val="00334DCD"/>
    <w:rsid w:val="0033512F"/>
    <w:rsid w:val="003415D4"/>
    <w:rsid w:val="00350BFD"/>
    <w:rsid w:val="00352076"/>
    <w:rsid w:val="00353932"/>
    <w:rsid w:val="00353FFC"/>
    <w:rsid w:val="00354AFD"/>
    <w:rsid w:val="00355206"/>
    <w:rsid w:val="00363814"/>
    <w:rsid w:val="00366E81"/>
    <w:rsid w:val="00371A4C"/>
    <w:rsid w:val="00374134"/>
    <w:rsid w:val="00375008"/>
    <w:rsid w:val="00377AA9"/>
    <w:rsid w:val="00377EB8"/>
    <w:rsid w:val="003827DB"/>
    <w:rsid w:val="0038505F"/>
    <w:rsid w:val="0038615A"/>
    <w:rsid w:val="00386DFD"/>
    <w:rsid w:val="0039350B"/>
    <w:rsid w:val="003A130F"/>
    <w:rsid w:val="003A5D57"/>
    <w:rsid w:val="003B001F"/>
    <w:rsid w:val="003B2E73"/>
    <w:rsid w:val="003C3706"/>
    <w:rsid w:val="003D6603"/>
    <w:rsid w:val="003E1F77"/>
    <w:rsid w:val="003E6EE4"/>
    <w:rsid w:val="003F3D39"/>
    <w:rsid w:val="003F6585"/>
    <w:rsid w:val="003F676F"/>
    <w:rsid w:val="003F7A5B"/>
    <w:rsid w:val="00423105"/>
    <w:rsid w:val="00424381"/>
    <w:rsid w:val="00424452"/>
    <w:rsid w:val="00433A07"/>
    <w:rsid w:val="004447A8"/>
    <w:rsid w:val="004538C2"/>
    <w:rsid w:val="00455DCC"/>
    <w:rsid w:val="004609BE"/>
    <w:rsid w:val="00461391"/>
    <w:rsid w:val="00464324"/>
    <w:rsid w:val="004656B3"/>
    <w:rsid w:val="00477F23"/>
    <w:rsid w:val="004820C2"/>
    <w:rsid w:val="004841F0"/>
    <w:rsid w:val="004949DB"/>
    <w:rsid w:val="004972B7"/>
    <w:rsid w:val="004A5E62"/>
    <w:rsid w:val="004B236C"/>
    <w:rsid w:val="004C31B8"/>
    <w:rsid w:val="004C6BF6"/>
    <w:rsid w:val="004D1C06"/>
    <w:rsid w:val="004E3820"/>
    <w:rsid w:val="004F1534"/>
    <w:rsid w:val="004F2257"/>
    <w:rsid w:val="004F5375"/>
    <w:rsid w:val="005000F2"/>
    <w:rsid w:val="0050016C"/>
    <w:rsid w:val="00503EFA"/>
    <w:rsid w:val="0050423C"/>
    <w:rsid w:val="00505487"/>
    <w:rsid w:val="00512D3F"/>
    <w:rsid w:val="00513F34"/>
    <w:rsid w:val="00514FFD"/>
    <w:rsid w:val="005158A3"/>
    <w:rsid w:val="00520CB8"/>
    <w:rsid w:val="005231BB"/>
    <w:rsid w:val="00525938"/>
    <w:rsid w:val="005320A1"/>
    <w:rsid w:val="00534688"/>
    <w:rsid w:val="00540485"/>
    <w:rsid w:val="00551D92"/>
    <w:rsid w:val="00556C43"/>
    <w:rsid w:val="00564548"/>
    <w:rsid w:val="00572A3B"/>
    <w:rsid w:val="00573F3C"/>
    <w:rsid w:val="00585C26"/>
    <w:rsid w:val="005878DE"/>
    <w:rsid w:val="00591296"/>
    <w:rsid w:val="005950B4"/>
    <w:rsid w:val="005A0FA9"/>
    <w:rsid w:val="005B29F4"/>
    <w:rsid w:val="005B335E"/>
    <w:rsid w:val="005C6356"/>
    <w:rsid w:val="005C63B8"/>
    <w:rsid w:val="005C7B31"/>
    <w:rsid w:val="005C7D64"/>
    <w:rsid w:val="005D0C3B"/>
    <w:rsid w:val="005D30A1"/>
    <w:rsid w:val="005D3377"/>
    <w:rsid w:val="005E2868"/>
    <w:rsid w:val="005E4FAE"/>
    <w:rsid w:val="005E5713"/>
    <w:rsid w:val="006034D0"/>
    <w:rsid w:val="00620C12"/>
    <w:rsid w:val="006253D2"/>
    <w:rsid w:val="00631E93"/>
    <w:rsid w:val="00635DD8"/>
    <w:rsid w:val="006365F8"/>
    <w:rsid w:val="00642829"/>
    <w:rsid w:val="00647E86"/>
    <w:rsid w:val="0065496D"/>
    <w:rsid w:val="00654EF0"/>
    <w:rsid w:val="006608B0"/>
    <w:rsid w:val="00666B2C"/>
    <w:rsid w:val="0068057B"/>
    <w:rsid w:val="006832F1"/>
    <w:rsid w:val="00694743"/>
    <w:rsid w:val="00696A9F"/>
    <w:rsid w:val="006A05FE"/>
    <w:rsid w:val="006B0050"/>
    <w:rsid w:val="006B0539"/>
    <w:rsid w:val="006B60B6"/>
    <w:rsid w:val="006B6581"/>
    <w:rsid w:val="006C3B2B"/>
    <w:rsid w:val="006C5AC7"/>
    <w:rsid w:val="006D21B4"/>
    <w:rsid w:val="006E036A"/>
    <w:rsid w:val="006E3AA2"/>
    <w:rsid w:val="006F1B1C"/>
    <w:rsid w:val="00705BF0"/>
    <w:rsid w:val="007111F3"/>
    <w:rsid w:val="00714412"/>
    <w:rsid w:val="007205A2"/>
    <w:rsid w:val="007272B6"/>
    <w:rsid w:val="00740CF4"/>
    <w:rsid w:val="00743104"/>
    <w:rsid w:val="007500AF"/>
    <w:rsid w:val="0075074F"/>
    <w:rsid w:val="00751634"/>
    <w:rsid w:val="00751F8C"/>
    <w:rsid w:val="00755116"/>
    <w:rsid w:val="0075587B"/>
    <w:rsid w:val="0076115C"/>
    <w:rsid w:val="00775E16"/>
    <w:rsid w:val="00776F8C"/>
    <w:rsid w:val="00780BE4"/>
    <w:rsid w:val="00783675"/>
    <w:rsid w:val="007861DE"/>
    <w:rsid w:val="0079050D"/>
    <w:rsid w:val="007938FA"/>
    <w:rsid w:val="007A050C"/>
    <w:rsid w:val="007A53DB"/>
    <w:rsid w:val="007B6E39"/>
    <w:rsid w:val="007C3D29"/>
    <w:rsid w:val="007D1792"/>
    <w:rsid w:val="007D3E67"/>
    <w:rsid w:val="007E147B"/>
    <w:rsid w:val="007E18B1"/>
    <w:rsid w:val="007E6331"/>
    <w:rsid w:val="007F0FD2"/>
    <w:rsid w:val="007F1D3C"/>
    <w:rsid w:val="00803F33"/>
    <w:rsid w:val="0080582F"/>
    <w:rsid w:val="00806598"/>
    <w:rsid w:val="00814E8E"/>
    <w:rsid w:val="00821C9D"/>
    <w:rsid w:val="00823150"/>
    <w:rsid w:val="008246A9"/>
    <w:rsid w:val="00826114"/>
    <w:rsid w:val="00827A09"/>
    <w:rsid w:val="00830D56"/>
    <w:rsid w:val="008367A0"/>
    <w:rsid w:val="00837E1B"/>
    <w:rsid w:val="008450F1"/>
    <w:rsid w:val="00852124"/>
    <w:rsid w:val="00857274"/>
    <w:rsid w:val="008573A9"/>
    <w:rsid w:val="008640F7"/>
    <w:rsid w:val="00884A0A"/>
    <w:rsid w:val="00893BD8"/>
    <w:rsid w:val="00896B13"/>
    <w:rsid w:val="00897324"/>
    <w:rsid w:val="008A03DE"/>
    <w:rsid w:val="008A6800"/>
    <w:rsid w:val="008C1BA9"/>
    <w:rsid w:val="008C263C"/>
    <w:rsid w:val="008C3F9C"/>
    <w:rsid w:val="008C53EF"/>
    <w:rsid w:val="008C5A43"/>
    <w:rsid w:val="008C6794"/>
    <w:rsid w:val="008D740F"/>
    <w:rsid w:val="008E0050"/>
    <w:rsid w:val="008E32ED"/>
    <w:rsid w:val="008E71EF"/>
    <w:rsid w:val="008F227C"/>
    <w:rsid w:val="008F3116"/>
    <w:rsid w:val="008F660A"/>
    <w:rsid w:val="008F6821"/>
    <w:rsid w:val="00912097"/>
    <w:rsid w:val="00912E2A"/>
    <w:rsid w:val="00913BB5"/>
    <w:rsid w:val="00915854"/>
    <w:rsid w:val="00921298"/>
    <w:rsid w:val="00922301"/>
    <w:rsid w:val="00937078"/>
    <w:rsid w:val="0094002B"/>
    <w:rsid w:val="00940DC0"/>
    <w:rsid w:val="00942564"/>
    <w:rsid w:val="00945688"/>
    <w:rsid w:val="00945CC4"/>
    <w:rsid w:val="00947B10"/>
    <w:rsid w:val="0096002E"/>
    <w:rsid w:val="009609CD"/>
    <w:rsid w:val="00961D32"/>
    <w:rsid w:val="00962B9C"/>
    <w:rsid w:val="009650CE"/>
    <w:rsid w:val="0097270A"/>
    <w:rsid w:val="00986E19"/>
    <w:rsid w:val="0099153D"/>
    <w:rsid w:val="00992693"/>
    <w:rsid w:val="00993927"/>
    <w:rsid w:val="00994865"/>
    <w:rsid w:val="00994D82"/>
    <w:rsid w:val="00997252"/>
    <w:rsid w:val="009A1AA7"/>
    <w:rsid w:val="009A3382"/>
    <w:rsid w:val="009C4EC6"/>
    <w:rsid w:val="009C7AE9"/>
    <w:rsid w:val="009D00C8"/>
    <w:rsid w:val="009D3894"/>
    <w:rsid w:val="009D38D0"/>
    <w:rsid w:val="009D3BAD"/>
    <w:rsid w:val="009D3DC1"/>
    <w:rsid w:val="009D734D"/>
    <w:rsid w:val="009E0F13"/>
    <w:rsid w:val="009E1037"/>
    <w:rsid w:val="009E6B00"/>
    <w:rsid w:val="009F09FF"/>
    <w:rsid w:val="009F0DBD"/>
    <w:rsid w:val="00A0200B"/>
    <w:rsid w:val="00A11731"/>
    <w:rsid w:val="00A13E56"/>
    <w:rsid w:val="00A20ACC"/>
    <w:rsid w:val="00A22337"/>
    <w:rsid w:val="00A424D9"/>
    <w:rsid w:val="00A427D6"/>
    <w:rsid w:val="00A5041D"/>
    <w:rsid w:val="00A51602"/>
    <w:rsid w:val="00A63176"/>
    <w:rsid w:val="00A82099"/>
    <w:rsid w:val="00A82BCB"/>
    <w:rsid w:val="00A8433F"/>
    <w:rsid w:val="00A85072"/>
    <w:rsid w:val="00A85FCA"/>
    <w:rsid w:val="00A86458"/>
    <w:rsid w:val="00A86711"/>
    <w:rsid w:val="00A96A04"/>
    <w:rsid w:val="00AA0A53"/>
    <w:rsid w:val="00AA4016"/>
    <w:rsid w:val="00AA61B9"/>
    <w:rsid w:val="00AA7BEA"/>
    <w:rsid w:val="00AB220F"/>
    <w:rsid w:val="00AB279B"/>
    <w:rsid w:val="00AB27C4"/>
    <w:rsid w:val="00AB314F"/>
    <w:rsid w:val="00AB57F3"/>
    <w:rsid w:val="00AB595C"/>
    <w:rsid w:val="00AB6FF7"/>
    <w:rsid w:val="00AC03E3"/>
    <w:rsid w:val="00AC2582"/>
    <w:rsid w:val="00AD200A"/>
    <w:rsid w:val="00AD398F"/>
    <w:rsid w:val="00AE47BA"/>
    <w:rsid w:val="00AE5B71"/>
    <w:rsid w:val="00AF74A5"/>
    <w:rsid w:val="00B01C5A"/>
    <w:rsid w:val="00B01F34"/>
    <w:rsid w:val="00B06344"/>
    <w:rsid w:val="00B1105C"/>
    <w:rsid w:val="00B137F7"/>
    <w:rsid w:val="00B15D29"/>
    <w:rsid w:val="00B23BD5"/>
    <w:rsid w:val="00B37F23"/>
    <w:rsid w:val="00B40A65"/>
    <w:rsid w:val="00B41795"/>
    <w:rsid w:val="00B41FE9"/>
    <w:rsid w:val="00B422FF"/>
    <w:rsid w:val="00B426A2"/>
    <w:rsid w:val="00B504ED"/>
    <w:rsid w:val="00B54F23"/>
    <w:rsid w:val="00B54F74"/>
    <w:rsid w:val="00B66BE5"/>
    <w:rsid w:val="00B671CB"/>
    <w:rsid w:val="00B71DFE"/>
    <w:rsid w:val="00B71EE9"/>
    <w:rsid w:val="00B75B97"/>
    <w:rsid w:val="00B76151"/>
    <w:rsid w:val="00B77CEC"/>
    <w:rsid w:val="00B8038F"/>
    <w:rsid w:val="00B82C63"/>
    <w:rsid w:val="00B84DFF"/>
    <w:rsid w:val="00B9028D"/>
    <w:rsid w:val="00B90D68"/>
    <w:rsid w:val="00B917C9"/>
    <w:rsid w:val="00B94816"/>
    <w:rsid w:val="00B95C22"/>
    <w:rsid w:val="00BA100D"/>
    <w:rsid w:val="00BD4430"/>
    <w:rsid w:val="00BD4691"/>
    <w:rsid w:val="00BE1A74"/>
    <w:rsid w:val="00BE4D24"/>
    <w:rsid w:val="00BF115F"/>
    <w:rsid w:val="00BF1457"/>
    <w:rsid w:val="00BF7299"/>
    <w:rsid w:val="00C04844"/>
    <w:rsid w:val="00C076A5"/>
    <w:rsid w:val="00C127ED"/>
    <w:rsid w:val="00C154E8"/>
    <w:rsid w:val="00C15B7E"/>
    <w:rsid w:val="00C21D6A"/>
    <w:rsid w:val="00C23091"/>
    <w:rsid w:val="00C24C8F"/>
    <w:rsid w:val="00C27F5A"/>
    <w:rsid w:val="00C328C0"/>
    <w:rsid w:val="00C333DD"/>
    <w:rsid w:val="00C40B2B"/>
    <w:rsid w:val="00C42020"/>
    <w:rsid w:val="00C44B8C"/>
    <w:rsid w:val="00C562E9"/>
    <w:rsid w:val="00C600D0"/>
    <w:rsid w:val="00C61595"/>
    <w:rsid w:val="00C642C8"/>
    <w:rsid w:val="00C85191"/>
    <w:rsid w:val="00C85E8B"/>
    <w:rsid w:val="00C85F1D"/>
    <w:rsid w:val="00C87B17"/>
    <w:rsid w:val="00C941CA"/>
    <w:rsid w:val="00CA0390"/>
    <w:rsid w:val="00CA18C4"/>
    <w:rsid w:val="00CA6DA8"/>
    <w:rsid w:val="00CB2F2B"/>
    <w:rsid w:val="00CB38C6"/>
    <w:rsid w:val="00CB4E4A"/>
    <w:rsid w:val="00CC4EE9"/>
    <w:rsid w:val="00CD06AA"/>
    <w:rsid w:val="00CD44D5"/>
    <w:rsid w:val="00CE2CE5"/>
    <w:rsid w:val="00CE50C7"/>
    <w:rsid w:val="00CF1EE8"/>
    <w:rsid w:val="00CF2878"/>
    <w:rsid w:val="00CF444D"/>
    <w:rsid w:val="00D003A4"/>
    <w:rsid w:val="00D03910"/>
    <w:rsid w:val="00D131C8"/>
    <w:rsid w:val="00D1359F"/>
    <w:rsid w:val="00D17339"/>
    <w:rsid w:val="00D21A8D"/>
    <w:rsid w:val="00D22691"/>
    <w:rsid w:val="00D235FF"/>
    <w:rsid w:val="00D23F64"/>
    <w:rsid w:val="00D26AD5"/>
    <w:rsid w:val="00D276E2"/>
    <w:rsid w:val="00D3164A"/>
    <w:rsid w:val="00D41692"/>
    <w:rsid w:val="00D421A9"/>
    <w:rsid w:val="00D451D2"/>
    <w:rsid w:val="00D523DC"/>
    <w:rsid w:val="00D5739B"/>
    <w:rsid w:val="00D57E41"/>
    <w:rsid w:val="00D606D7"/>
    <w:rsid w:val="00D6795A"/>
    <w:rsid w:val="00D67B66"/>
    <w:rsid w:val="00D71DD5"/>
    <w:rsid w:val="00D724A5"/>
    <w:rsid w:val="00D835B2"/>
    <w:rsid w:val="00D9315B"/>
    <w:rsid w:val="00D9396E"/>
    <w:rsid w:val="00D95183"/>
    <w:rsid w:val="00D96119"/>
    <w:rsid w:val="00DA5820"/>
    <w:rsid w:val="00DB103F"/>
    <w:rsid w:val="00DB55B2"/>
    <w:rsid w:val="00DC580F"/>
    <w:rsid w:val="00DC7596"/>
    <w:rsid w:val="00DD0466"/>
    <w:rsid w:val="00DD14A6"/>
    <w:rsid w:val="00DD1F0C"/>
    <w:rsid w:val="00DD34FC"/>
    <w:rsid w:val="00DD52DF"/>
    <w:rsid w:val="00DF32C2"/>
    <w:rsid w:val="00DF6D56"/>
    <w:rsid w:val="00E060E9"/>
    <w:rsid w:val="00E40FD0"/>
    <w:rsid w:val="00E455CF"/>
    <w:rsid w:val="00E46851"/>
    <w:rsid w:val="00E53D45"/>
    <w:rsid w:val="00E64842"/>
    <w:rsid w:val="00E6487C"/>
    <w:rsid w:val="00E66B09"/>
    <w:rsid w:val="00E70DA3"/>
    <w:rsid w:val="00E72B94"/>
    <w:rsid w:val="00E74471"/>
    <w:rsid w:val="00E77BB3"/>
    <w:rsid w:val="00E832CF"/>
    <w:rsid w:val="00E85ED3"/>
    <w:rsid w:val="00E86B85"/>
    <w:rsid w:val="00E90E79"/>
    <w:rsid w:val="00E920F3"/>
    <w:rsid w:val="00E93200"/>
    <w:rsid w:val="00E95338"/>
    <w:rsid w:val="00EA1C9F"/>
    <w:rsid w:val="00EA5859"/>
    <w:rsid w:val="00EA72C7"/>
    <w:rsid w:val="00EB3B1D"/>
    <w:rsid w:val="00ED7E39"/>
    <w:rsid w:val="00EE56F8"/>
    <w:rsid w:val="00EE6F4F"/>
    <w:rsid w:val="00F00D03"/>
    <w:rsid w:val="00F0387C"/>
    <w:rsid w:val="00F04AA4"/>
    <w:rsid w:val="00F07D86"/>
    <w:rsid w:val="00F21407"/>
    <w:rsid w:val="00F222DC"/>
    <w:rsid w:val="00F428AF"/>
    <w:rsid w:val="00F45FEC"/>
    <w:rsid w:val="00F5652E"/>
    <w:rsid w:val="00F60ED6"/>
    <w:rsid w:val="00F743D2"/>
    <w:rsid w:val="00F74D55"/>
    <w:rsid w:val="00F75AF4"/>
    <w:rsid w:val="00F77979"/>
    <w:rsid w:val="00F81E90"/>
    <w:rsid w:val="00F85E53"/>
    <w:rsid w:val="00F86F3B"/>
    <w:rsid w:val="00F9109B"/>
    <w:rsid w:val="00F94B43"/>
    <w:rsid w:val="00FB2CDB"/>
    <w:rsid w:val="00FB68AF"/>
    <w:rsid w:val="00FB7166"/>
    <w:rsid w:val="00FC001E"/>
    <w:rsid w:val="00FC3CB0"/>
    <w:rsid w:val="00FC44A1"/>
    <w:rsid w:val="00FC758C"/>
    <w:rsid w:val="00FC7CC3"/>
    <w:rsid w:val="00FD5DBF"/>
    <w:rsid w:val="00FD6F1D"/>
    <w:rsid w:val="00FE0DD5"/>
    <w:rsid w:val="00FE1056"/>
    <w:rsid w:val="00FE2887"/>
    <w:rsid w:val="00FE5A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C43"/>
    <w:pPr>
      <w:spacing w:before="120" w:after="120"/>
      <w:jc w:val="both"/>
    </w:pPr>
    <w:rPr>
      <w:rFonts w:ascii="Arial" w:hAnsi="Arial"/>
      <w:sz w:val="18"/>
      <w:szCs w:val="24"/>
      <w:lang w:eastAsia="en-US"/>
    </w:rPr>
  </w:style>
  <w:style w:type="paragraph" w:styleId="Heading1">
    <w:name w:val="heading 1"/>
    <w:basedOn w:val="Normal"/>
    <w:next w:val="Heading2"/>
    <w:qFormat/>
    <w:rsid w:val="002C1A20"/>
    <w:pPr>
      <w:keepNext/>
      <w:pBdr>
        <w:bottom w:val="single" w:sz="4" w:space="1" w:color="auto"/>
      </w:pBdr>
      <w:spacing w:after="60"/>
      <w:ind w:left="720" w:hanging="720"/>
      <w:jc w:val="left"/>
      <w:outlineLvl w:val="0"/>
    </w:pPr>
    <w:rPr>
      <w:rFonts w:cs="Arial"/>
      <w:b/>
      <w:bCs/>
      <w:kern w:val="32"/>
      <w:sz w:val="34"/>
      <w:szCs w:val="32"/>
    </w:rPr>
  </w:style>
  <w:style w:type="paragraph" w:styleId="Heading2">
    <w:name w:val="heading 2"/>
    <w:basedOn w:val="Normal"/>
    <w:next w:val="Normal"/>
    <w:link w:val="Heading2Char"/>
    <w:qFormat/>
    <w:rsid w:val="008640F7"/>
    <w:pPr>
      <w:keepNext/>
      <w:spacing w:before="240" w:after="60"/>
      <w:ind w:left="720" w:hanging="720"/>
      <w:jc w:val="left"/>
      <w:outlineLvl w:val="1"/>
    </w:pPr>
    <w:rPr>
      <w:rFonts w:cs="Arial"/>
      <w:b/>
      <w:bCs/>
      <w:i/>
      <w:iCs/>
      <w:sz w:val="30"/>
      <w:szCs w:val="28"/>
    </w:rPr>
  </w:style>
  <w:style w:type="paragraph" w:styleId="Heading3">
    <w:name w:val="heading 3"/>
    <w:basedOn w:val="Normal"/>
    <w:next w:val="Normal"/>
    <w:qFormat/>
    <w:rsid w:val="008640F7"/>
    <w:pPr>
      <w:keepNext/>
      <w:spacing w:before="240" w:after="60"/>
      <w:ind w:left="720" w:hanging="7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40F7"/>
    <w:rPr>
      <w:rFonts w:ascii="Arial" w:hAnsi="Arial" w:cs="Arial"/>
      <w:b/>
      <w:bCs/>
      <w:i/>
      <w:iCs/>
      <w:sz w:val="30"/>
      <w:szCs w:val="28"/>
      <w:lang w:val="en-GB" w:eastAsia="en-US" w:bidi="ar-SA"/>
    </w:rPr>
  </w:style>
  <w:style w:type="paragraph" w:customStyle="1" w:styleId="TITLE">
    <w:name w:val="TITLE"/>
    <w:basedOn w:val="Normal"/>
    <w:rsid w:val="00D96119"/>
    <w:pPr>
      <w:spacing w:before="0" w:after="0"/>
      <w:jc w:val="center"/>
    </w:pPr>
    <w:rPr>
      <w:b/>
      <w:bCs/>
      <w:sz w:val="40"/>
      <w:szCs w:val="20"/>
    </w:rPr>
  </w:style>
  <w:style w:type="paragraph" w:customStyle="1" w:styleId="GuideLineBullets">
    <w:name w:val="GuideLine Bullets"/>
    <w:basedOn w:val="Normal"/>
    <w:rsid w:val="009D3BAD"/>
    <w:pPr>
      <w:numPr>
        <w:numId w:val="1"/>
      </w:numPr>
      <w:spacing w:before="0"/>
      <w:ind w:left="1077" w:hanging="357"/>
    </w:pPr>
  </w:style>
  <w:style w:type="character" w:styleId="Hyperlink">
    <w:name w:val="Hyperlink"/>
    <w:basedOn w:val="DefaultParagraphFont"/>
    <w:rsid w:val="00B84DFF"/>
    <w:rPr>
      <w:color w:val="0000FF"/>
      <w:u w:val="single"/>
    </w:rPr>
  </w:style>
  <w:style w:type="character" w:styleId="CommentReference">
    <w:name w:val="annotation reference"/>
    <w:basedOn w:val="DefaultParagraphFont"/>
    <w:semiHidden/>
    <w:rsid w:val="00250477"/>
    <w:rPr>
      <w:sz w:val="16"/>
      <w:szCs w:val="16"/>
    </w:rPr>
  </w:style>
  <w:style w:type="paragraph" w:styleId="CommentText">
    <w:name w:val="annotation text"/>
    <w:basedOn w:val="Normal"/>
    <w:semiHidden/>
    <w:rsid w:val="00250477"/>
    <w:rPr>
      <w:sz w:val="20"/>
      <w:szCs w:val="20"/>
    </w:rPr>
  </w:style>
  <w:style w:type="paragraph" w:styleId="BalloonText">
    <w:name w:val="Balloon Text"/>
    <w:basedOn w:val="Normal"/>
    <w:semiHidden/>
    <w:rsid w:val="00250477"/>
    <w:rPr>
      <w:rFonts w:ascii="Tahoma" w:hAnsi="Tahoma" w:cs="Tahoma"/>
      <w:sz w:val="16"/>
      <w:szCs w:val="16"/>
    </w:rPr>
  </w:style>
  <w:style w:type="paragraph" w:styleId="Header">
    <w:name w:val="header"/>
    <w:basedOn w:val="Normal"/>
    <w:rsid w:val="00D96119"/>
    <w:pPr>
      <w:tabs>
        <w:tab w:val="center" w:pos="4320"/>
        <w:tab w:val="right" w:pos="8640"/>
      </w:tabs>
    </w:pPr>
  </w:style>
  <w:style w:type="paragraph" w:styleId="Footer">
    <w:name w:val="footer"/>
    <w:basedOn w:val="Normal"/>
    <w:rsid w:val="00D96119"/>
    <w:pPr>
      <w:tabs>
        <w:tab w:val="center" w:pos="4320"/>
        <w:tab w:val="right" w:pos="8640"/>
      </w:tabs>
      <w:spacing w:before="0" w:after="0"/>
      <w:jc w:val="right"/>
    </w:pPr>
    <w:rPr>
      <w:sz w:val="16"/>
    </w:rPr>
  </w:style>
  <w:style w:type="paragraph" w:styleId="TOC1">
    <w:name w:val="toc 1"/>
    <w:basedOn w:val="Normal"/>
    <w:next w:val="Normal"/>
    <w:autoRedefine/>
    <w:semiHidden/>
    <w:rsid w:val="00B76151"/>
    <w:pPr>
      <w:tabs>
        <w:tab w:val="left" w:pos="851"/>
        <w:tab w:val="right" w:leader="dot" w:pos="9395"/>
      </w:tabs>
    </w:pPr>
  </w:style>
  <w:style w:type="paragraph" w:styleId="TOC2">
    <w:name w:val="toc 2"/>
    <w:basedOn w:val="Normal"/>
    <w:next w:val="Normal"/>
    <w:autoRedefine/>
    <w:semiHidden/>
    <w:rsid w:val="003415D4"/>
    <w:pPr>
      <w:ind w:left="240"/>
    </w:pPr>
  </w:style>
  <w:style w:type="paragraph" w:styleId="TOC3">
    <w:name w:val="toc 3"/>
    <w:basedOn w:val="Normal"/>
    <w:next w:val="Normal"/>
    <w:autoRedefine/>
    <w:semiHidden/>
    <w:rsid w:val="003415D4"/>
    <w:pPr>
      <w:ind w:left="480"/>
    </w:pPr>
  </w:style>
  <w:style w:type="character" w:styleId="FollowedHyperlink">
    <w:name w:val="FollowedHyperlink"/>
    <w:basedOn w:val="DefaultParagraphFont"/>
    <w:rsid w:val="00AB314F"/>
    <w:rPr>
      <w:color w:val="800080"/>
      <w:u w:val="single"/>
    </w:rPr>
  </w:style>
  <w:style w:type="paragraph" w:styleId="CommentSubject">
    <w:name w:val="annotation subject"/>
    <w:basedOn w:val="CommentText"/>
    <w:next w:val="CommentText"/>
    <w:semiHidden/>
    <w:rsid w:val="00D421A9"/>
    <w:rPr>
      <w:b/>
      <w:bCs/>
    </w:rPr>
  </w:style>
  <w:style w:type="paragraph" w:customStyle="1" w:styleId="AddressandContactDetails">
    <w:name w:val="Address and Contact Details"/>
    <w:basedOn w:val="Normal"/>
    <w:rsid w:val="008C6794"/>
    <w:pPr>
      <w:spacing w:before="0" w:after="0"/>
      <w:ind w:left="851"/>
    </w:pPr>
    <w:rPr>
      <w:sz w:val="22"/>
    </w:rPr>
  </w:style>
  <w:style w:type="paragraph" w:customStyle="1" w:styleId="GuidelineText">
    <w:name w:val="Guideline Text"/>
    <w:basedOn w:val="Normal"/>
    <w:link w:val="GuidelineTextChar"/>
    <w:rsid w:val="009D3BAD"/>
    <w:pPr>
      <w:ind w:left="851"/>
    </w:pPr>
    <w:rPr>
      <w:sz w:val="22"/>
      <w:szCs w:val="20"/>
    </w:rPr>
  </w:style>
  <w:style w:type="paragraph" w:customStyle="1" w:styleId="TITLESMALL">
    <w:name w:val="TITLE SMALL"/>
    <w:basedOn w:val="Normal"/>
    <w:rsid w:val="00D96119"/>
    <w:pPr>
      <w:pBdr>
        <w:bottom w:val="single" w:sz="6" w:space="1" w:color="auto"/>
      </w:pBdr>
      <w:jc w:val="center"/>
    </w:pPr>
    <w:rPr>
      <w:b/>
      <w:bCs/>
      <w:szCs w:val="20"/>
    </w:rPr>
  </w:style>
  <w:style w:type="table" w:styleId="TableGrid">
    <w:name w:val="Table Grid"/>
    <w:basedOn w:val="TableNormal"/>
    <w:uiPriority w:val="59"/>
    <w:rsid w:val="00937078"/>
    <w:pPr>
      <w:spacing w:before="24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rsid w:val="00F428AF"/>
    <w:pPr>
      <w:numPr>
        <w:ilvl w:val="1"/>
        <w:numId w:val="3"/>
      </w:numPr>
    </w:pPr>
  </w:style>
  <w:style w:type="paragraph" w:customStyle="1" w:styleId="Titleblock">
    <w:name w:val="Title block"/>
    <w:basedOn w:val="Normal"/>
    <w:rsid w:val="00DF32C2"/>
    <w:rPr>
      <w:b/>
      <w:sz w:val="28"/>
      <w:szCs w:val="28"/>
    </w:rPr>
  </w:style>
  <w:style w:type="paragraph" w:customStyle="1" w:styleId="Notes">
    <w:name w:val="Notes"/>
    <w:basedOn w:val="Normal"/>
    <w:link w:val="NotesChar"/>
    <w:rsid w:val="00B71DFE"/>
    <w:pPr>
      <w:pBdr>
        <w:left w:val="doubleWave" w:sz="6" w:space="4" w:color="FF0000"/>
        <w:right w:val="doubleWave" w:sz="6" w:space="4" w:color="FF0000"/>
      </w:pBdr>
      <w:spacing w:after="0"/>
      <w:ind w:left="567" w:right="567"/>
    </w:pPr>
    <w:rPr>
      <w:rFonts w:ascii="Courier" w:hAnsi="Courier"/>
      <w:color w:val="3366FF"/>
      <w:sz w:val="24"/>
    </w:rPr>
  </w:style>
  <w:style w:type="character" w:customStyle="1" w:styleId="NotesChar">
    <w:name w:val="Notes Char"/>
    <w:basedOn w:val="DefaultParagraphFont"/>
    <w:link w:val="Notes"/>
    <w:rsid w:val="00B71DFE"/>
    <w:rPr>
      <w:rFonts w:ascii="Courier" w:hAnsi="Courier"/>
      <w:color w:val="3366FF"/>
      <w:sz w:val="24"/>
      <w:szCs w:val="24"/>
      <w:lang w:val="en-GB" w:eastAsia="en-US" w:bidi="ar-SA"/>
    </w:rPr>
  </w:style>
  <w:style w:type="character" w:customStyle="1" w:styleId="GuidelineTextChar">
    <w:name w:val="Guideline Text Char"/>
    <w:basedOn w:val="DefaultParagraphFont"/>
    <w:link w:val="GuidelineText"/>
    <w:rsid w:val="008640F7"/>
    <w:rPr>
      <w:rFonts w:ascii="Arial" w:hAnsi="Arial"/>
      <w:sz w:val="22"/>
      <w:lang w:val="en-GB" w:eastAsia="en-US" w:bidi="ar-SA"/>
    </w:rPr>
  </w:style>
  <w:style w:type="paragraph" w:customStyle="1" w:styleId="CarattereCarattereChar">
    <w:name w:val="Carattere Carattere Char"/>
    <w:basedOn w:val="Normal"/>
    <w:rsid w:val="00BE4D24"/>
    <w:pPr>
      <w:spacing w:before="0" w:after="160" w:line="240" w:lineRule="exact"/>
      <w:jc w:val="left"/>
    </w:pPr>
    <w:rPr>
      <w:rFonts w:ascii="Tahoma" w:hAnsi="Tahoma"/>
      <w:sz w:val="20"/>
      <w:szCs w:val="20"/>
      <w:lang w:val="en-US"/>
    </w:rPr>
  </w:style>
  <w:style w:type="paragraph" w:styleId="NormalWeb">
    <w:name w:val="Normal (Web)"/>
    <w:basedOn w:val="Normal"/>
    <w:rsid w:val="00AA0A53"/>
    <w:pPr>
      <w:spacing w:before="100" w:beforeAutospacing="1" w:after="100" w:afterAutospacing="1"/>
      <w:jc w:val="left"/>
    </w:pPr>
    <w:rPr>
      <w:rFonts w:ascii="Times New Roman" w:hAnsi="Times New Roman"/>
      <w:sz w:val="24"/>
      <w:lang w:val="en-US"/>
    </w:rPr>
  </w:style>
  <w:style w:type="paragraph" w:customStyle="1" w:styleId="text">
    <w:name w:val="text"/>
    <w:basedOn w:val="Normal"/>
    <w:rsid w:val="00AA0A53"/>
    <w:pPr>
      <w:spacing w:before="100" w:beforeAutospacing="1" w:after="100" w:afterAutospacing="1"/>
      <w:jc w:val="left"/>
    </w:pPr>
    <w:rPr>
      <w:rFonts w:cs="Arial"/>
      <w:color w:val="000080"/>
      <w:sz w:val="20"/>
      <w:szCs w:val="20"/>
      <w:lang w:val="en-US"/>
    </w:rPr>
  </w:style>
  <w:style w:type="character" w:styleId="Strong">
    <w:name w:val="Strong"/>
    <w:basedOn w:val="DefaultParagraphFont"/>
    <w:qFormat/>
    <w:rsid w:val="00AA0A53"/>
    <w:rPr>
      <w:b/>
      <w:bCs/>
    </w:rPr>
  </w:style>
  <w:style w:type="paragraph" w:customStyle="1" w:styleId="Style">
    <w:name w:val="Style"/>
    <w:rsid w:val="00B01F34"/>
    <w:pPr>
      <w:widowControl w:val="0"/>
      <w:autoSpaceDE w:val="0"/>
      <w:autoSpaceDN w:val="0"/>
      <w:adjustRightInd w:val="0"/>
    </w:pPr>
    <w:rPr>
      <w:sz w:val="24"/>
      <w:szCs w:val="24"/>
      <w:lang w:val="en-US" w:eastAsia="en-US"/>
    </w:rPr>
  </w:style>
  <w:style w:type="paragraph" w:customStyle="1" w:styleId="Default">
    <w:name w:val="Default"/>
    <w:rsid w:val="00A0200B"/>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814E8E"/>
    <w:pPr>
      <w:spacing w:before="0" w:after="0"/>
      <w:jc w:val="left"/>
    </w:pPr>
    <w:rPr>
      <w:szCs w:val="20"/>
    </w:rPr>
  </w:style>
  <w:style w:type="character" w:customStyle="1" w:styleId="BodyTextChar">
    <w:name w:val="Body Text Char"/>
    <w:basedOn w:val="DefaultParagraphFont"/>
    <w:link w:val="BodyText"/>
    <w:rsid w:val="00814E8E"/>
    <w:rPr>
      <w:rFonts w:ascii="Arial" w:hAnsi="Arial"/>
      <w:sz w:val="22"/>
      <w:lang w:val="en-GB" w:eastAsia="en-US" w:bidi="ar-SA"/>
    </w:rPr>
  </w:style>
  <w:style w:type="paragraph" w:customStyle="1" w:styleId="Entry">
    <w:name w:val="Entry"/>
    <w:basedOn w:val="Normal"/>
    <w:autoRedefine/>
    <w:rsid w:val="0050423C"/>
    <w:pPr>
      <w:spacing w:before="80"/>
      <w:ind w:left="792" w:hanging="720"/>
      <w:jc w:val="left"/>
    </w:pPr>
    <w:rPr>
      <w:b/>
      <w:i/>
      <w:iCs/>
      <w:color w:val="000080"/>
      <w:szCs w:val="18"/>
      <w:lang w:eastAsia="en-GB"/>
    </w:rPr>
  </w:style>
  <w:style w:type="paragraph" w:styleId="FootnoteText">
    <w:name w:val="footnote text"/>
    <w:basedOn w:val="Normal"/>
    <w:link w:val="FootnoteTextChar"/>
    <w:rsid w:val="00751F8C"/>
    <w:pPr>
      <w:spacing w:before="0" w:after="0"/>
    </w:pPr>
    <w:rPr>
      <w:sz w:val="20"/>
      <w:szCs w:val="20"/>
    </w:rPr>
  </w:style>
  <w:style w:type="character" w:customStyle="1" w:styleId="FootnoteTextChar">
    <w:name w:val="Footnote Text Char"/>
    <w:basedOn w:val="DefaultParagraphFont"/>
    <w:link w:val="FootnoteText"/>
    <w:rsid w:val="00751F8C"/>
    <w:rPr>
      <w:rFonts w:ascii="Arial" w:hAnsi="Arial"/>
      <w:lang w:eastAsia="en-US"/>
    </w:rPr>
  </w:style>
  <w:style w:type="character" w:styleId="FootnoteReference">
    <w:name w:val="footnote reference"/>
    <w:basedOn w:val="DefaultParagraphFont"/>
    <w:rsid w:val="00751F8C"/>
    <w:rPr>
      <w:vertAlign w:val="superscript"/>
    </w:rPr>
  </w:style>
</w:styles>
</file>

<file path=word/webSettings.xml><?xml version="1.0" encoding="utf-8"?>
<w:webSettings xmlns:r="http://schemas.openxmlformats.org/officeDocument/2006/relationships" xmlns:w="http://schemas.openxmlformats.org/wordprocessingml/2006/main">
  <w:divs>
    <w:div w:id="80222748">
      <w:bodyDiv w:val="1"/>
      <w:marLeft w:val="0"/>
      <w:marRight w:val="0"/>
      <w:marTop w:val="0"/>
      <w:marBottom w:val="0"/>
      <w:divBdr>
        <w:top w:val="none" w:sz="0" w:space="0" w:color="auto"/>
        <w:left w:val="none" w:sz="0" w:space="0" w:color="auto"/>
        <w:bottom w:val="none" w:sz="0" w:space="0" w:color="auto"/>
        <w:right w:val="none" w:sz="0" w:space="0" w:color="auto"/>
      </w:divBdr>
    </w:div>
    <w:div w:id="85006461">
      <w:bodyDiv w:val="1"/>
      <w:marLeft w:val="0"/>
      <w:marRight w:val="0"/>
      <w:marTop w:val="0"/>
      <w:marBottom w:val="0"/>
      <w:divBdr>
        <w:top w:val="none" w:sz="0" w:space="0" w:color="auto"/>
        <w:left w:val="none" w:sz="0" w:space="0" w:color="auto"/>
        <w:bottom w:val="none" w:sz="0" w:space="0" w:color="auto"/>
        <w:right w:val="none" w:sz="0" w:space="0" w:color="auto"/>
      </w:divBdr>
    </w:div>
    <w:div w:id="112402470">
      <w:bodyDiv w:val="1"/>
      <w:marLeft w:val="0"/>
      <w:marRight w:val="0"/>
      <w:marTop w:val="0"/>
      <w:marBottom w:val="0"/>
      <w:divBdr>
        <w:top w:val="none" w:sz="0" w:space="0" w:color="auto"/>
        <w:left w:val="none" w:sz="0" w:space="0" w:color="auto"/>
        <w:bottom w:val="none" w:sz="0" w:space="0" w:color="auto"/>
        <w:right w:val="none" w:sz="0" w:space="0" w:color="auto"/>
      </w:divBdr>
    </w:div>
    <w:div w:id="127748172">
      <w:bodyDiv w:val="1"/>
      <w:marLeft w:val="0"/>
      <w:marRight w:val="0"/>
      <w:marTop w:val="0"/>
      <w:marBottom w:val="0"/>
      <w:divBdr>
        <w:top w:val="none" w:sz="0" w:space="0" w:color="auto"/>
        <w:left w:val="none" w:sz="0" w:space="0" w:color="auto"/>
        <w:bottom w:val="none" w:sz="0" w:space="0" w:color="auto"/>
        <w:right w:val="none" w:sz="0" w:space="0" w:color="auto"/>
      </w:divBdr>
    </w:div>
    <w:div w:id="305744710">
      <w:bodyDiv w:val="1"/>
      <w:marLeft w:val="0"/>
      <w:marRight w:val="0"/>
      <w:marTop w:val="0"/>
      <w:marBottom w:val="0"/>
      <w:divBdr>
        <w:top w:val="none" w:sz="0" w:space="0" w:color="auto"/>
        <w:left w:val="none" w:sz="0" w:space="0" w:color="auto"/>
        <w:bottom w:val="none" w:sz="0" w:space="0" w:color="auto"/>
        <w:right w:val="none" w:sz="0" w:space="0" w:color="auto"/>
      </w:divBdr>
    </w:div>
    <w:div w:id="455757358">
      <w:bodyDiv w:val="1"/>
      <w:marLeft w:val="0"/>
      <w:marRight w:val="0"/>
      <w:marTop w:val="0"/>
      <w:marBottom w:val="0"/>
      <w:divBdr>
        <w:top w:val="none" w:sz="0" w:space="0" w:color="auto"/>
        <w:left w:val="none" w:sz="0" w:space="0" w:color="auto"/>
        <w:bottom w:val="none" w:sz="0" w:space="0" w:color="auto"/>
        <w:right w:val="none" w:sz="0" w:space="0" w:color="auto"/>
      </w:divBdr>
    </w:div>
    <w:div w:id="467935843">
      <w:bodyDiv w:val="1"/>
      <w:marLeft w:val="0"/>
      <w:marRight w:val="0"/>
      <w:marTop w:val="0"/>
      <w:marBottom w:val="0"/>
      <w:divBdr>
        <w:top w:val="none" w:sz="0" w:space="0" w:color="auto"/>
        <w:left w:val="none" w:sz="0" w:space="0" w:color="auto"/>
        <w:bottom w:val="none" w:sz="0" w:space="0" w:color="auto"/>
        <w:right w:val="none" w:sz="0" w:space="0" w:color="auto"/>
      </w:divBdr>
    </w:div>
    <w:div w:id="483010093">
      <w:bodyDiv w:val="1"/>
      <w:marLeft w:val="0"/>
      <w:marRight w:val="0"/>
      <w:marTop w:val="0"/>
      <w:marBottom w:val="0"/>
      <w:divBdr>
        <w:top w:val="none" w:sz="0" w:space="0" w:color="auto"/>
        <w:left w:val="none" w:sz="0" w:space="0" w:color="auto"/>
        <w:bottom w:val="none" w:sz="0" w:space="0" w:color="auto"/>
        <w:right w:val="none" w:sz="0" w:space="0" w:color="auto"/>
      </w:divBdr>
    </w:div>
    <w:div w:id="525994365">
      <w:bodyDiv w:val="1"/>
      <w:marLeft w:val="0"/>
      <w:marRight w:val="0"/>
      <w:marTop w:val="0"/>
      <w:marBottom w:val="0"/>
      <w:divBdr>
        <w:top w:val="none" w:sz="0" w:space="0" w:color="auto"/>
        <w:left w:val="none" w:sz="0" w:space="0" w:color="auto"/>
        <w:bottom w:val="none" w:sz="0" w:space="0" w:color="auto"/>
        <w:right w:val="none" w:sz="0" w:space="0" w:color="auto"/>
      </w:divBdr>
    </w:div>
    <w:div w:id="627662839">
      <w:bodyDiv w:val="1"/>
      <w:marLeft w:val="0"/>
      <w:marRight w:val="0"/>
      <w:marTop w:val="0"/>
      <w:marBottom w:val="0"/>
      <w:divBdr>
        <w:top w:val="none" w:sz="0" w:space="0" w:color="auto"/>
        <w:left w:val="none" w:sz="0" w:space="0" w:color="auto"/>
        <w:bottom w:val="none" w:sz="0" w:space="0" w:color="auto"/>
        <w:right w:val="none" w:sz="0" w:space="0" w:color="auto"/>
      </w:divBdr>
    </w:div>
    <w:div w:id="662470265">
      <w:bodyDiv w:val="1"/>
      <w:marLeft w:val="0"/>
      <w:marRight w:val="0"/>
      <w:marTop w:val="0"/>
      <w:marBottom w:val="0"/>
      <w:divBdr>
        <w:top w:val="none" w:sz="0" w:space="0" w:color="auto"/>
        <w:left w:val="none" w:sz="0" w:space="0" w:color="auto"/>
        <w:bottom w:val="none" w:sz="0" w:space="0" w:color="auto"/>
        <w:right w:val="none" w:sz="0" w:space="0" w:color="auto"/>
      </w:divBdr>
    </w:div>
    <w:div w:id="674696922">
      <w:bodyDiv w:val="1"/>
      <w:marLeft w:val="0"/>
      <w:marRight w:val="0"/>
      <w:marTop w:val="0"/>
      <w:marBottom w:val="0"/>
      <w:divBdr>
        <w:top w:val="none" w:sz="0" w:space="0" w:color="auto"/>
        <w:left w:val="none" w:sz="0" w:space="0" w:color="auto"/>
        <w:bottom w:val="none" w:sz="0" w:space="0" w:color="auto"/>
        <w:right w:val="none" w:sz="0" w:space="0" w:color="auto"/>
      </w:divBdr>
    </w:div>
    <w:div w:id="845948938">
      <w:bodyDiv w:val="1"/>
      <w:marLeft w:val="0"/>
      <w:marRight w:val="0"/>
      <w:marTop w:val="0"/>
      <w:marBottom w:val="0"/>
      <w:divBdr>
        <w:top w:val="none" w:sz="0" w:space="0" w:color="auto"/>
        <w:left w:val="none" w:sz="0" w:space="0" w:color="auto"/>
        <w:bottom w:val="none" w:sz="0" w:space="0" w:color="auto"/>
        <w:right w:val="none" w:sz="0" w:space="0" w:color="auto"/>
      </w:divBdr>
    </w:div>
    <w:div w:id="893082263">
      <w:bodyDiv w:val="1"/>
      <w:marLeft w:val="0"/>
      <w:marRight w:val="0"/>
      <w:marTop w:val="0"/>
      <w:marBottom w:val="0"/>
      <w:divBdr>
        <w:top w:val="none" w:sz="0" w:space="0" w:color="auto"/>
        <w:left w:val="none" w:sz="0" w:space="0" w:color="auto"/>
        <w:bottom w:val="none" w:sz="0" w:space="0" w:color="auto"/>
        <w:right w:val="none" w:sz="0" w:space="0" w:color="auto"/>
      </w:divBdr>
    </w:div>
    <w:div w:id="1000499353">
      <w:bodyDiv w:val="1"/>
      <w:marLeft w:val="0"/>
      <w:marRight w:val="0"/>
      <w:marTop w:val="0"/>
      <w:marBottom w:val="0"/>
      <w:divBdr>
        <w:top w:val="none" w:sz="0" w:space="0" w:color="auto"/>
        <w:left w:val="none" w:sz="0" w:space="0" w:color="auto"/>
        <w:bottom w:val="none" w:sz="0" w:space="0" w:color="auto"/>
        <w:right w:val="none" w:sz="0" w:space="0" w:color="auto"/>
      </w:divBdr>
    </w:div>
    <w:div w:id="1014114487">
      <w:bodyDiv w:val="1"/>
      <w:marLeft w:val="0"/>
      <w:marRight w:val="0"/>
      <w:marTop w:val="0"/>
      <w:marBottom w:val="0"/>
      <w:divBdr>
        <w:top w:val="none" w:sz="0" w:space="0" w:color="auto"/>
        <w:left w:val="none" w:sz="0" w:space="0" w:color="auto"/>
        <w:bottom w:val="none" w:sz="0" w:space="0" w:color="auto"/>
        <w:right w:val="none" w:sz="0" w:space="0" w:color="auto"/>
      </w:divBdr>
    </w:div>
    <w:div w:id="1033265960">
      <w:bodyDiv w:val="1"/>
      <w:marLeft w:val="0"/>
      <w:marRight w:val="0"/>
      <w:marTop w:val="0"/>
      <w:marBottom w:val="0"/>
      <w:divBdr>
        <w:top w:val="none" w:sz="0" w:space="0" w:color="auto"/>
        <w:left w:val="none" w:sz="0" w:space="0" w:color="auto"/>
        <w:bottom w:val="none" w:sz="0" w:space="0" w:color="auto"/>
        <w:right w:val="none" w:sz="0" w:space="0" w:color="auto"/>
      </w:divBdr>
    </w:div>
    <w:div w:id="1097214128">
      <w:bodyDiv w:val="1"/>
      <w:marLeft w:val="0"/>
      <w:marRight w:val="0"/>
      <w:marTop w:val="0"/>
      <w:marBottom w:val="0"/>
      <w:divBdr>
        <w:top w:val="none" w:sz="0" w:space="0" w:color="auto"/>
        <w:left w:val="none" w:sz="0" w:space="0" w:color="auto"/>
        <w:bottom w:val="none" w:sz="0" w:space="0" w:color="auto"/>
        <w:right w:val="none" w:sz="0" w:space="0" w:color="auto"/>
      </w:divBdr>
    </w:div>
    <w:div w:id="1288900540">
      <w:bodyDiv w:val="1"/>
      <w:marLeft w:val="0"/>
      <w:marRight w:val="0"/>
      <w:marTop w:val="0"/>
      <w:marBottom w:val="0"/>
      <w:divBdr>
        <w:top w:val="none" w:sz="0" w:space="0" w:color="auto"/>
        <w:left w:val="none" w:sz="0" w:space="0" w:color="auto"/>
        <w:bottom w:val="none" w:sz="0" w:space="0" w:color="auto"/>
        <w:right w:val="none" w:sz="0" w:space="0" w:color="auto"/>
      </w:divBdr>
    </w:div>
    <w:div w:id="1294092706">
      <w:bodyDiv w:val="1"/>
      <w:marLeft w:val="0"/>
      <w:marRight w:val="0"/>
      <w:marTop w:val="0"/>
      <w:marBottom w:val="0"/>
      <w:divBdr>
        <w:top w:val="none" w:sz="0" w:space="0" w:color="auto"/>
        <w:left w:val="none" w:sz="0" w:space="0" w:color="auto"/>
        <w:bottom w:val="none" w:sz="0" w:space="0" w:color="auto"/>
        <w:right w:val="none" w:sz="0" w:space="0" w:color="auto"/>
      </w:divBdr>
    </w:div>
    <w:div w:id="1542477626">
      <w:bodyDiv w:val="1"/>
      <w:marLeft w:val="0"/>
      <w:marRight w:val="0"/>
      <w:marTop w:val="0"/>
      <w:marBottom w:val="0"/>
      <w:divBdr>
        <w:top w:val="none" w:sz="0" w:space="0" w:color="auto"/>
        <w:left w:val="none" w:sz="0" w:space="0" w:color="auto"/>
        <w:bottom w:val="none" w:sz="0" w:space="0" w:color="auto"/>
        <w:right w:val="none" w:sz="0" w:space="0" w:color="auto"/>
      </w:divBdr>
    </w:div>
    <w:div w:id="1550608324">
      <w:bodyDiv w:val="1"/>
      <w:marLeft w:val="0"/>
      <w:marRight w:val="0"/>
      <w:marTop w:val="0"/>
      <w:marBottom w:val="0"/>
      <w:divBdr>
        <w:top w:val="none" w:sz="0" w:space="0" w:color="auto"/>
        <w:left w:val="none" w:sz="0" w:space="0" w:color="auto"/>
        <w:bottom w:val="none" w:sz="0" w:space="0" w:color="auto"/>
        <w:right w:val="none" w:sz="0" w:space="0" w:color="auto"/>
      </w:divBdr>
    </w:div>
    <w:div w:id="1615625097">
      <w:bodyDiv w:val="1"/>
      <w:marLeft w:val="0"/>
      <w:marRight w:val="0"/>
      <w:marTop w:val="0"/>
      <w:marBottom w:val="0"/>
      <w:divBdr>
        <w:top w:val="none" w:sz="0" w:space="0" w:color="auto"/>
        <w:left w:val="none" w:sz="0" w:space="0" w:color="auto"/>
        <w:bottom w:val="none" w:sz="0" w:space="0" w:color="auto"/>
        <w:right w:val="none" w:sz="0" w:space="0" w:color="auto"/>
      </w:divBdr>
    </w:div>
    <w:div w:id="1650331179">
      <w:bodyDiv w:val="1"/>
      <w:marLeft w:val="0"/>
      <w:marRight w:val="0"/>
      <w:marTop w:val="0"/>
      <w:marBottom w:val="0"/>
      <w:divBdr>
        <w:top w:val="none" w:sz="0" w:space="0" w:color="auto"/>
        <w:left w:val="none" w:sz="0" w:space="0" w:color="auto"/>
        <w:bottom w:val="none" w:sz="0" w:space="0" w:color="auto"/>
        <w:right w:val="none" w:sz="0" w:space="0" w:color="auto"/>
      </w:divBdr>
    </w:div>
    <w:div w:id="1677223549">
      <w:bodyDiv w:val="1"/>
      <w:marLeft w:val="0"/>
      <w:marRight w:val="0"/>
      <w:marTop w:val="0"/>
      <w:marBottom w:val="0"/>
      <w:divBdr>
        <w:top w:val="none" w:sz="0" w:space="0" w:color="auto"/>
        <w:left w:val="none" w:sz="0" w:space="0" w:color="auto"/>
        <w:bottom w:val="none" w:sz="0" w:space="0" w:color="auto"/>
        <w:right w:val="none" w:sz="0" w:space="0" w:color="auto"/>
      </w:divBdr>
    </w:div>
    <w:div w:id="1690527018">
      <w:bodyDiv w:val="1"/>
      <w:marLeft w:val="0"/>
      <w:marRight w:val="0"/>
      <w:marTop w:val="0"/>
      <w:marBottom w:val="0"/>
      <w:divBdr>
        <w:top w:val="none" w:sz="0" w:space="0" w:color="auto"/>
        <w:left w:val="none" w:sz="0" w:space="0" w:color="auto"/>
        <w:bottom w:val="none" w:sz="0" w:space="0" w:color="auto"/>
        <w:right w:val="none" w:sz="0" w:space="0" w:color="auto"/>
      </w:divBdr>
    </w:div>
    <w:div w:id="1744796793">
      <w:bodyDiv w:val="1"/>
      <w:marLeft w:val="0"/>
      <w:marRight w:val="0"/>
      <w:marTop w:val="0"/>
      <w:marBottom w:val="0"/>
      <w:divBdr>
        <w:top w:val="none" w:sz="0" w:space="0" w:color="auto"/>
        <w:left w:val="none" w:sz="0" w:space="0" w:color="auto"/>
        <w:bottom w:val="none" w:sz="0" w:space="0" w:color="auto"/>
        <w:right w:val="none" w:sz="0" w:space="0" w:color="auto"/>
      </w:divBdr>
    </w:div>
    <w:div w:id="1936982496">
      <w:bodyDiv w:val="1"/>
      <w:marLeft w:val="0"/>
      <w:marRight w:val="0"/>
      <w:marTop w:val="0"/>
      <w:marBottom w:val="0"/>
      <w:divBdr>
        <w:top w:val="none" w:sz="0" w:space="0" w:color="auto"/>
        <w:left w:val="none" w:sz="0" w:space="0" w:color="auto"/>
        <w:bottom w:val="none" w:sz="0" w:space="0" w:color="auto"/>
        <w:right w:val="none" w:sz="0" w:space="0" w:color="auto"/>
      </w:divBdr>
    </w:div>
    <w:div w:id="1938169038">
      <w:bodyDiv w:val="1"/>
      <w:marLeft w:val="0"/>
      <w:marRight w:val="0"/>
      <w:marTop w:val="0"/>
      <w:marBottom w:val="0"/>
      <w:divBdr>
        <w:top w:val="none" w:sz="0" w:space="0" w:color="auto"/>
        <w:left w:val="none" w:sz="0" w:space="0" w:color="auto"/>
        <w:bottom w:val="none" w:sz="0" w:space="0" w:color="auto"/>
        <w:right w:val="none" w:sz="0" w:space="0" w:color="auto"/>
      </w:divBdr>
    </w:div>
    <w:div w:id="2101097521">
      <w:bodyDiv w:val="1"/>
      <w:marLeft w:val="0"/>
      <w:marRight w:val="0"/>
      <w:marTop w:val="0"/>
      <w:marBottom w:val="0"/>
      <w:divBdr>
        <w:top w:val="none" w:sz="0" w:space="0" w:color="auto"/>
        <w:left w:val="none" w:sz="0" w:space="0" w:color="auto"/>
        <w:bottom w:val="none" w:sz="0" w:space="0" w:color="auto"/>
        <w:right w:val="none" w:sz="0" w:space="0" w:color="auto"/>
      </w:divBdr>
    </w:div>
    <w:div w:id="21451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rdis.europa.eu/fp7/home_en.html" TargetMode="External"/><Relationship Id="rId18" Type="http://schemas.openxmlformats.org/officeDocument/2006/relationships/hyperlink" Target="http://www.maltaenterprise.com/en/support/exploratory-award"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ur-lex.europa.eu/LexUriServ/site/en/oj/2006/l_379/l_37920061228en00050010.pdf" TargetMode="External"/><Relationship Id="rId17" Type="http://schemas.openxmlformats.org/officeDocument/2006/relationships/hyperlink" Target="http://www.maltaenterprise.com" TargetMode="External"/><Relationship Id="rId2" Type="http://schemas.openxmlformats.org/officeDocument/2006/relationships/customXml" Target="../customXml/item2.xml"/><Relationship Id="rId16" Type="http://schemas.openxmlformats.org/officeDocument/2006/relationships/hyperlink" Target="http://eur-lex.europa.eu/LexUriServ/site/en/oj/2006/l_379/l_37920061228en00050010.pdf" TargetMode="External"/><Relationship Id="rId20" Type="http://schemas.openxmlformats.org/officeDocument/2006/relationships/hyperlink" Target="http://www.maltaenterprise.com/en/support/exploratory-aw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site/en/oj/2003/l_124/l_12420030520en00360041.pdf" TargetMode="External"/><Relationship Id="rId5" Type="http://schemas.openxmlformats.org/officeDocument/2006/relationships/settings" Target="settings.xml"/><Relationship Id="rId15" Type="http://schemas.openxmlformats.org/officeDocument/2006/relationships/hyperlink" Target="http://ec.europa.eu/cip/index_en.ht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info@maltaenterpris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cst.gov.m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EA9AD-9EF8-475C-A0FB-5ED519D5540A}">
  <ds:schemaRefs>
    <ds:schemaRef ds:uri="http://schemas.microsoft.com/office/2006/customDocumentInformationPanel"/>
  </ds:schemaRefs>
</ds:datastoreItem>
</file>

<file path=customXml/itemProps2.xml><?xml version="1.0" encoding="utf-8"?>
<ds:datastoreItem xmlns:ds="http://schemas.openxmlformats.org/officeDocument/2006/customXml" ds:itemID="{383BD692-0984-480E-85AE-DD4211FE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4744</Words>
  <Characters>27047</Characters>
  <Application>Microsoft Office Word</Application>
  <DocSecurity>8</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31728</CharactersWithSpaces>
  <SharedDoc>false</SharedDoc>
  <HLinks>
    <vt:vector size="108" baseType="variant">
      <vt:variant>
        <vt:i4>2293846</vt:i4>
      </vt:variant>
      <vt:variant>
        <vt:i4>78</vt:i4>
      </vt:variant>
      <vt:variant>
        <vt:i4>0</vt:i4>
      </vt:variant>
      <vt:variant>
        <vt:i4>5</vt:i4>
      </vt:variant>
      <vt:variant>
        <vt:lpwstr>mailto:customer.relations@maltaenterprise.com</vt:lpwstr>
      </vt:variant>
      <vt:variant>
        <vt:lpwstr/>
      </vt:variant>
      <vt:variant>
        <vt:i4>3276902</vt:i4>
      </vt:variant>
      <vt:variant>
        <vt:i4>75</vt:i4>
      </vt:variant>
      <vt:variant>
        <vt:i4>0</vt:i4>
      </vt:variant>
      <vt:variant>
        <vt:i4>5</vt:i4>
      </vt:variant>
      <vt:variant>
        <vt:lpwstr>http://www.maltaenterprise.com/</vt:lpwstr>
      </vt:variant>
      <vt:variant>
        <vt:lpwstr/>
      </vt:variant>
      <vt:variant>
        <vt:i4>6094934</vt:i4>
      </vt:variant>
      <vt:variant>
        <vt:i4>72</vt:i4>
      </vt:variant>
      <vt:variant>
        <vt:i4>0</vt:i4>
      </vt:variant>
      <vt:variant>
        <vt:i4>5</vt:i4>
      </vt:variant>
      <vt:variant>
        <vt:lpwstr>http://eur-lex.europa.eu/LexUriServ/site/en/oj/2006/l_379/l_37920061228en00050010.pdf</vt:lpwstr>
      </vt:variant>
      <vt:variant>
        <vt:lpwstr/>
      </vt:variant>
      <vt:variant>
        <vt:i4>2621455</vt:i4>
      </vt:variant>
      <vt:variant>
        <vt:i4>69</vt:i4>
      </vt:variant>
      <vt:variant>
        <vt:i4>0</vt:i4>
      </vt:variant>
      <vt:variant>
        <vt:i4>5</vt:i4>
      </vt:variant>
      <vt:variant>
        <vt:lpwstr>http://ec.europa.eu/cip/index_en.htm</vt:lpwstr>
      </vt:variant>
      <vt:variant>
        <vt:lpwstr/>
      </vt:variant>
      <vt:variant>
        <vt:i4>3014715</vt:i4>
      </vt:variant>
      <vt:variant>
        <vt:i4>66</vt:i4>
      </vt:variant>
      <vt:variant>
        <vt:i4>0</vt:i4>
      </vt:variant>
      <vt:variant>
        <vt:i4>5</vt:i4>
      </vt:variant>
      <vt:variant>
        <vt:lpwstr>http://www.mcst.gov.mt/</vt:lpwstr>
      </vt:variant>
      <vt:variant>
        <vt:lpwstr/>
      </vt:variant>
      <vt:variant>
        <vt:i4>4849709</vt:i4>
      </vt:variant>
      <vt:variant>
        <vt:i4>63</vt:i4>
      </vt:variant>
      <vt:variant>
        <vt:i4>0</vt:i4>
      </vt:variant>
      <vt:variant>
        <vt:i4>5</vt:i4>
      </vt:variant>
      <vt:variant>
        <vt:lpwstr>http://cordis.europa.eu/fp7/home_en.html</vt:lpwstr>
      </vt:variant>
      <vt:variant>
        <vt:lpwstr/>
      </vt:variant>
      <vt:variant>
        <vt:i4>6094934</vt:i4>
      </vt:variant>
      <vt:variant>
        <vt:i4>60</vt:i4>
      </vt:variant>
      <vt:variant>
        <vt:i4>0</vt:i4>
      </vt:variant>
      <vt:variant>
        <vt:i4>5</vt:i4>
      </vt:variant>
      <vt:variant>
        <vt:lpwstr>http://eur-lex.europa.eu/LexUriServ/site/en/oj/2006/l_379/l_37920061228en00050010.pdf</vt:lpwstr>
      </vt:variant>
      <vt:variant>
        <vt:lpwstr/>
      </vt:variant>
      <vt:variant>
        <vt:i4>5898331</vt:i4>
      </vt:variant>
      <vt:variant>
        <vt:i4>57</vt:i4>
      </vt:variant>
      <vt:variant>
        <vt:i4>0</vt:i4>
      </vt:variant>
      <vt:variant>
        <vt:i4>5</vt:i4>
      </vt:variant>
      <vt:variant>
        <vt:lpwstr>http://eur-lex.europa.eu/LexUriServ/site/en/oj/2003/l_124/l_12420030520en00360041.pdf</vt:lpwstr>
      </vt:variant>
      <vt:variant>
        <vt:lpwstr/>
      </vt:variant>
      <vt:variant>
        <vt:i4>1245232</vt:i4>
      </vt:variant>
      <vt:variant>
        <vt:i4>50</vt:i4>
      </vt:variant>
      <vt:variant>
        <vt:i4>0</vt:i4>
      </vt:variant>
      <vt:variant>
        <vt:i4>5</vt:i4>
      </vt:variant>
      <vt:variant>
        <vt:lpwstr/>
      </vt:variant>
      <vt:variant>
        <vt:lpwstr>_Toc172007341</vt:lpwstr>
      </vt:variant>
      <vt:variant>
        <vt:i4>1245232</vt:i4>
      </vt:variant>
      <vt:variant>
        <vt:i4>44</vt:i4>
      </vt:variant>
      <vt:variant>
        <vt:i4>0</vt:i4>
      </vt:variant>
      <vt:variant>
        <vt:i4>5</vt:i4>
      </vt:variant>
      <vt:variant>
        <vt:lpwstr/>
      </vt:variant>
      <vt:variant>
        <vt:lpwstr>_Toc172007340</vt:lpwstr>
      </vt:variant>
      <vt:variant>
        <vt:i4>1310768</vt:i4>
      </vt:variant>
      <vt:variant>
        <vt:i4>38</vt:i4>
      </vt:variant>
      <vt:variant>
        <vt:i4>0</vt:i4>
      </vt:variant>
      <vt:variant>
        <vt:i4>5</vt:i4>
      </vt:variant>
      <vt:variant>
        <vt:lpwstr/>
      </vt:variant>
      <vt:variant>
        <vt:lpwstr>_Toc172007339</vt:lpwstr>
      </vt:variant>
      <vt:variant>
        <vt:i4>1310768</vt:i4>
      </vt:variant>
      <vt:variant>
        <vt:i4>32</vt:i4>
      </vt:variant>
      <vt:variant>
        <vt:i4>0</vt:i4>
      </vt:variant>
      <vt:variant>
        <vt:i4>5</vt:i4>
      </vt:variant>
      <vt:variant>
        <vt:lpwstr/>
      </vt:variant>
      <vt:variant>
        <vt:lpwstr>_Toc172007338</vt:lpwstr>
      </vt:variant>
      <vt:variant>
        <vt:i4>1310768</vt:i4>
      </vt:variant>
      <vt:variant>
        <vt:i4>26</vt:i4>
      </vt:variant>
      <vt:variant>
        <vt:i4>0</vt:i4>
      </vt:variant>
      <vt:variant>
        <vt:i4>5</vt:i4>
      </vt:variant>
      <vt:variant>
        <vt:lpwstr/>
      </vt:variant>
      <vt:variant>
        <vt:lpwstr>_Toc172007337</vt:lpwstr>
      </vt:variant>
      <vt:variant>
        <vt:i4>1310768</vt:i4>
      </vt:variant>
      <vt:variant>
        <vt:i4>20</vt:i4>
      </vt:variant>
      <vt:variant>
        <vt:i4>0</vt:i4>
      </vt:variant>
      <vt:variant>
        <vt:i4>5</vt:i4>
      </vt:variant>
      <vt:variant>
        <vt:lpwstr/>
      </vt:variant>
      <vt:variant>
        <vt:lpwstr>_Toc172007336</vt:lpwstr>
      </vt:variant>
      <vt:variant>
        <vt:i4>1310768</vt:i4>
      </vt:variant>
      <vt:variant>
        <vt:i4>14</vt:i4>
      </vt:variant>
      <vt:variant>
        <vt:i4>0</vt:i4>
      </vt:variant>
      <vt:variant>
        <vt:i4>5</vt:i4>
      </vt:variant>
      <vt:variant>
        <vt:lpwstr/>
      </vt:variant>
      <vt:variant>
        <vt:lpwstr>_Toc172007335</vt:lpwstr>
      </vt:variant>
      <vt:variant>
        <vt:i4>1310768</vt:i4>
      </vt:variant>
      <vt:variant>
        <vt:i4>8</vt:i4>
      </vt:variant>
      <vt:variant>
        <vt:i4>0</vt:i4>
      </vt:variant>
      <vt:variant>
        <vt:i4>5</vt:i4>
      </vt:variant>
      <vt:variant>
        <vt:lpwstr/>
      </vt:variant>
      <vt:variant>
        <vt:lpwstr>_Toc172007334</vt:lpwstr>
      </vt:variant>
      <vt:variant>
        <vt:i4>7602282</vt:i4>
      </vt:variant>
      <vt:variant>
        <vt:i4>3</vt:i4>
      </vt:variant>
      <vt:variant>
        <vt:i4>0</vt:i4>
      </vt:variant>
      <vt:variant>
        <vt:i4>5</vt:i4>
      </vt:variant>
      <vt:variant>
        <vt:lpwstr>http://incentives.maltaenterprise.com/</vt:lpwstr>
      </vt:variant>
      <vt:variant>
        <vt:lpwstr/>
      </vt:variant>
      <vt:variant>
        <vt:i4>3276902</vt:i4>
      </vt:variant>
      <vt:variant>
        <vt:i4>0</vt:i4>
      </vt:variant>
      <vt:variant>
        <vt:i4>0</vt:i4>
      </vt:variant>
      <vt:variant>
        <vt:i4>5</vt:i4>
      </vt:variant>
      <vt:variant>
        <vt:lpwstr>http://www.maltaenterprise.com/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JSilvio</dc:creator>
  <cp:lastModifiedBy>josephine.vassallo</cp:lastModifiedBy>
  <cp:revision>2</cp:revision>
  <cp:lastPrinted>2013-04-12T14:04:00Z</cp:lastPrinted>
  <dcterms:created xsi:type="dcterms:W3CDTF">2016-06-28T14:25:00Z</dcterms:created>
  <dcterms:modified xsi:type="dcterms:W3CDTF">2016-06-28T14:25:00Z</dcterms:modified>
</cp:coreProperties>
</file>