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D" w:rsidRPr="008B5986" w:rsidRDefault="008B5986" w:rsidP="008B598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B5986">
        <w:rPr>
          <w:rFonts w:asciiTheme="minorHAnsi" w:hAnsiTheme="minorHAnsi"/>
          <w:b/>
          <w:sz w:val="22"/>
          <w:szCs w:val="22"/>
        </w:rPr>
        <w:t xml:space="preserve">The following is an indicative list of the qualifying </w:t>
      </w:r>
      <w:r w:rsidR="00A57D7C">
        <w:rPr>
          <w:rFonts w:asciiTheme="minorHAnsi" w:hAnsiTheme="minorHAnsi"/>
          <w:b/>
          <w:sz w:val="22"/>
          <w:szCs w:val="22"/>
        </w:rPr>
        <w:t>NACE codes</w:t>
      </w:r>
      <w:r w:rsidRPr="008B5986">
        <w:rPr>
          <w:rFonts w:asciiTheme="minorHAnsi" w:hAnsiTheme="minorHAnsi"/>
          <w:b/>
          <w:sz w:val="22"/>
          <w:szCs w:val="22"/>
        </w:rPr>
        <w:t xml:space="preserve">. Nevertheless, applicants must be in line with the terms and conditions established within Section </w:t>
      </w:r>
      <w:r w:rsidR="00A57D7C">
        <w:rPr>
          <w:rFonts w:asciiTheme="minorHAnsi" w:hAnsiTheme="minorHAnsi"/>
          <w:b/>
          <w:sz w:val="22"/>
          <w:szCs w:val="22"/>
        </w:rPr>
        <w:t xml:space="preserve">2.3 of the Incentive Guidelines and </w:t>
      </w:r>
      <w:hyperlink r:id="rId6" w:tgtFrame="_blank" w:history="1">
        <w:r w:rsidR="00A57D7C" w:rsidRPr="00A57D7C">
          <w:rPr>
            <w:rStyle w:val="Hyperlink"/>
            <w:rFonts w:asciiTheme="minorHAnsi" w:hAnsiTheme="minorHAnsi"/>
            <w:sz w:val="22"/>
            <w:szCs w:val="22"/>
          </w:rPr>
          <w:t>Investment Aid (July 2014) Regulation (S.L. 463.10 to the Malta Enterprise Act)</w:t>
        </w:r>
      </w:hyperlink>
      <w:r w:rsidR="00A57D7C" w:rsidRPr="00A57D7C">
        <w:rPr>
          <w:rFonts w:asciiTheme="minorHAnsi" w:hAnsiTheme="minorHAnsi"/>
          <w:color w:val="1C1C1D"/>
          <w:sz w:val="22"/>
          <w:szCs w:val="22"/>
        </w:rPr>
        <w:t xml:space="preserve">.  </w:t>
      </w:r>
      <w:r w:rsidRPr="00A57D7C">
        <w:rPr>
          <w:rFonts w:asciiTheme="minorHAnsi" w:hAnsiTheme="minorHAnsi"/>
          <w:b/>
          <w:sz w:val="22"/>
          <w:szCs w:val="22"/>
        </w:rPr>
        <w:t xml:space="preserve"> </w:t>
      </w:r>
    </w:p>
    <w:p w:rsidR="008B5986" w:rsidRDefault="008B5986" w:rsidP="00E17FBD">
      <w:pPr>
        <w:pStyle w:val="Default"/>
      </w:pPr>
    </w:p>
    <w:p w:rsidR="00E17FBD" w:rsidRDefault="00E17FBD" w:rsidP="00E17FB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51"/>
        <w:gridCol w:w="3951"/>
      </w:tblGrid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 </w:t>
            </w:r>
          </w:p>
        </w:tc>
        <w:tc>
          <w:tcPr>
            <w:tcW w:w="3951" w:type="dxa"/>
          </w:tcPr>
          <w:p w:rsidR="00E17FBD" w:rsidRPr="00E17FBD" w:rsidRDefault="00E17F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Manufacturing </w:t>
            </w:r>
          </w:p>
          <w:p w:rsidR="00E17FBD" w:rsidRPr="00E17FBD" w:rsidRDefault="00E17F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C.20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Manufacture of chemicals and chemical products </w:t>
            </w: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C.21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Manufacture of basic pharmaceutical products and pharmaceutical preparations </w:t>
            </w: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C.25.92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Manufacture of light metal packaging </w:t>
            </w: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C.32.5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Manufacture of medical and dental instruments and supplies </w:t>
            </w: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C.32.99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Other manufacturing n.e.c. </w:t>
            </w: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E.36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Water collection, treatment and supply </w:t>
            </w: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E.38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Waste collection, treatment and disposal activities; material recovery </w:t>
            </w: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E.39 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Remediation activities and other waste management services </w:t>
            </w:r>
          </w:p>
        </w:tc>
      </w:tr>
      <w:tr w:rsidR="00E17FBD" w:rsidRPr="00E17FBD">
        <w:trPr>
          <w:trHeight w:val="208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H.52</w:t>
            </w:r>
            <w:r w:rsidR="00C01CDA">
              <w:rPr>
                <w:rFonts w:asciiTheme="minorHAnsi" w:hAnsiTheme="minorHAnsi"/>
                <w:sz w:val="22"/>
                <w:szCs w:val="22"/>
              </w:rPr>
              <w:t>.1</w:t>
            </w: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Warehousing and support activities for transportation </w:t>
            </w: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>
        <w:trPr>
          <w:trHeight w:val="93"/>
        </w:trPr>
        <w:tc>
          <w:tcPr>
            <w:tcW w:w="3951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I.55</w:t>
            </w:r>
            <w:r w:rsidR="00C01CDA">
              <w:rPr>
                <w:rFonts w:asciiTheme="minorHAnsi" w:hAnsiTheme="minorHAnsi"/>
                <w:sz w:val="22"/>
                <w:szCs w:val="22"/>
              </w:rPr>
              <w:t>.1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</w:tcPr>
          <w:p w:rsidR="00E17FBD" w:rsidRDefault="00C01CDA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Hotels and Similar </w:t>
            </w:r>
            <w:r w:rsidR="00E17FBD" w:rsidRPr="00E17FBD">
              <w:rPr>
                <w:rFonts w:asciiTheme="minorHAnsi" w:hAnsiTheme="minorHAnsi"/>
                <w:sz w:val="22"/>
                <w:szCs w:val="22"/>
              </w:rPr>
              <w:t xml:space="preserve">Accommodation </w:t>
            </w:r>
          </w:p>
          <w:p w:rsidR="00C01CDA" w:rsidRDefault="00C01CDA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01CDA" w:rsidRPr="00E17FBD" w:rsidRDefault="00C01CDA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C01CDA">
        <w:trPr>
          <w:trHeight w:val="93"/>
        </w:trPr>
        <w:tc>
          <w:tcPr>
            <w:tcW w:w="3951" w:type="dxa"/>
            <w:tcBorders>
              <w:left w:val="nil"/>
              <w:bottom w:val="nil"/>
            </w:tcBorders>
          </w:tcPr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I.55</w:t>
            </w:r>
            <w:r>
              <w:rPr>
                <w:rFonts w:asciiTheme="minorHAnsi" w:hAnsiTheme="minorHAnsi"/>
                <w:sz w:val="22"/>
                <w:szCs w:val="22"/>
              </w:rPr>
              <w:t>.2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51" w:type="dxa"/>
            <w:tcBorders>
              <w:bottom w:val="nil"/>
              <w:right w:val="nil"/>
            </w:tcBorders>
          </w:tcPr>
          <w:p w:rsidR="00C01CDA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Holiday and other short-stay accommodation</w:t>
            </w:r>
          </w:p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FBD" w:rsidRPr="00E17FBD" w:rsidRDefault="00C01CDA" w:rsidP="00E17FB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195"/>
      </w:tblGrid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J.58.2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235"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ftware publishing </w:t>
            </w: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208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J.59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Motion picture, video and television programme production, sound recording and music publishing activities </w:t>
            </w:r>
          </w:p>
        </w:tc>
      </w:tr>
      <w:tr w:rsidR="00E17FBD" w:rsidRPr="00E17FBD" w:rsidTr="00E17FBD">
        <w:trPr>
          <w:trHeight w:val="208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J.62.01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hanging="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Computer programming activities </w:t>
            </w: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J.63.11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Data processing, hosting and related activities </w:t>
            </w: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M.70.2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Management consultancy services</w:t>
            </w:r>
          </w:p>
        </w:tc>
      </w:tr>
      <w:tr w:rsidR="00523A62" w:rsidRPr="00E17FBD" w:rsidTr="00E17FBD">
        <w:trPr>
          <w:trHeight w:val="93"/>
        </w:trPr>
        <w:tc>
          <w:tcPr>
            <w:tcW w:w="4068" w:type="dxa"/>
          </w:tcPr>
          <w:p w:rsidR="00523A62" w:rsidRDefault="00523A62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523A62" w:rsidRPr="00E17FBD" w:rsidRDefault="00523A62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207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M.71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left="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Architectural and engineering activities; technical testing and analysis </w:t>
            </w:r>
          </w:p>
        </w:tc>
      </w:tr>
      <w:tr w:rsidR="00E17FBD" w:rsidRPr="00E17FBD" w:rsidTr="00E17FBD">
        <w:trPr>
          <w:trHeight w:val="207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M.72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hanging="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Scientific research and development </w:t>
            </w:r>
          </w:p>
        </w:tc>
      </w:tr>
      <w:tr w:rsidR="00E17FBD" w:rsidRP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Default="00E17FBD" w:rsidP="00E17FBD">
            <w:pPr>
              <w:pStyle w:val="Default"/>
              <w:ind w:hanging="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Tr="00E17FBD">
        <w:trPr>
          <w:trHeight w:val="207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M.72.11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Research and experimental development on biotechnology </w:t>
            </w:r>
          </w:p>
        </w:tc>
      </w:tr>
      <w:tr w:rsidR="00E17FBD" w:rsidTr="00E17FBD">
        <w:trPr>
          <w:trHeight w:val="207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M.73.2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Market research and public opinion polling </w:t>
            </w: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M.74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Other professional, scientific and technical activities </w:t>
            </w: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N.78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Employment activities </w:t>
            </w:r>
          </w:p>
        </w:tc>
      </w:tr>
      <w:tr w:rsidR="00E17FBD" w:rsidTr="00E17FBD">
        <w:trPr>
          <w:trHeight w:val="93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FBD" w:rsidTr="00E17FBD">
        <w:trPr>
          <w:trHeight w:val="207"/>
        </w:trPr>
        <w:tc>
          <w:tcPr>
            <w:tcW w:w="4068" w:type="dxa"/>
          </w:tcPr>
          <w:p w:rsidR="00E17FBD" w:rsidRPr="00E17FBD" w:rsidRDefault="00E17FBD" w:rsidP="00E17F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N.82 </w:t>
            </w:r>
          </w:p>
        </w:tc>
        <w:tc>
          <w:tcPr>
            <w:tcW w:w="4195" w:type="dxa"/>
          </w:tcPr>
          <w:p w:rsidR="00E17FBD" w:rsidRPr="00E17FBD" w:rsidRDefault="00E17FBD" w:rsidP="00E17FBD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 xml:space="preserve">Office administrative, office support and other business support activities </w:t>
            </w:r>
          </w:p>
        </w:tc>
      </w:tr>
    </w:tbl>
    <w:p w:rsidR="00E17FBD" w:rsidRDefault="00E17FBD" w:rsidP="00E17FBD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195"/>
      </w:tblGrid>
      <w:tr w:rsidR="00C01CDA" w:rsidRPr="00E17FBD" w:rsidTr="00541FAA">
        <w:trPr>
          <w:trHeight w:val="207"/>
        </w:trPr>
        <w:tc>
          <w:tcPr>
            <w:tcW w:w="4068" w:type="dxa"/>
          </w:tcPr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N.82</w:t>
            </w:r>
            <w:r>
              <w:rPr>
                <w:rFonts w:asciiTheme="minorHAnsi" w:hAnsiTheme="minorHAnsi"/>
                <w:sz w:val="22"/>
                <w:szCs w:val="22"/>
              </w:rPr>
              <w:t>.2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</w:tcPr>
          <w:p w:rsidR="00C01CDA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Activities of Call Centres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541FAA">
        <w:trPr>
          <w:trHeight w:val="207"/>
        </w:trPr>
        <w:tc>
          <w:tcPr>
            <w:tcW w:w="4068" w:type="dxa"/>
          </w:tcPr>
          <w:p w:rsidR="00C01CDA" w:rsidRPr="00E17FBD" w:rsidRDefault="00C01CDA" w:rsidP="00C01C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N.82</w:t>
            </w:r>
            <w:r>
              <w:rPr>
                <w:rFonts w:asciiTheme="minorHAnsi" w:hAnsiTheme="minorHAnsi"/>
                <w:sz w:val="22"/>
                <w:szCs w:val="22"/>
              </w:rPr>
              <w:t>.3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</w:tcPr>
          <w:p w:rsidR="00C01CDA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 of conventions and trade shows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C01CDA">
        <w:trPr>
          <w:trHeight w:val="207"/>
        </w:trPr>
        <w:tc>
          <w:tcPr>
            <w:tcW w:w="4068" w:type="dxa"/>
            <w:tcBorders>
              <w:left w:val="nil"/>
              <w:bottom w:val="nil"/>
            </w:tcBorders>
          </w:tcPr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7FBD">
              <w:rPr>
                <w:rFonts w:asciiTheme="minorHAnsi" w:hAnsiTheme="minorHAnsi"/>
                <w:sz w:val="22"/>
                <w:szCs w:val="22"/>
              </w:rPr>
              <w:t>N.82</w:t>
            </w:r>
            <w:r w:rsidR="00484209">
              <w:rPr>
                <w:rFonts w:asciiTheme="minorHAnsi" w:hAnsiTheme="minorHAnsi"/>
                <w:sz w:val="22"/>
                <w:szCs w:val="22"/>
              </w:rPr>
              <w:t>.92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  <w:tcBorders>
              <w:bottom w:val="nil"/>
              <w:right w:val="nil"/>
            </w:tcBorders>
          </w:tcPr>
          <w:p w:rsidR="00C01CDA" w:rsidRDefault="00C01CDA" w:rsidP="00C01CD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Packing Activities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541FAA">
        <w:trPr>
          <w:trHeight w:val="207"/>
        </w:trPr>
        <w:tc>
          <w:tcPr>
            <w:tcW w:w="4068" w:type="dxa"/>
            <w:tcBorders>
              <w:left w:val="nil"/>
              <w:bottom w:val="nil"/>
            </w:tcBorders>
          </w:tcPr>
          <w:p w:rsidR="00C01CDA" w:rsidRPr="00E17FBD" w:rsidRDefault="00C01CDA" w:rsidP="00C01CD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85.4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  <w:tcBorders>
              <w:bottom w:val="nil"/>
              <w:right w:val="nil"/>
            </w:tcBorders>
          </w:tcPr>
          <w:p w:rsidR="00C01CDA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Higher Education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C01CDA">
        <w:trPr>
          <w:trHeight w:val="207"/>
        </w:trPr>
        <w:tc>
          <w:tcPr>
            <w:tcW w:w="4068" w:type="dxa"/>
            <w:tcBorders>
              <w:left w:val="nil"/>
              <w:bottom w:val="nil"/>
            </w:tcBorders>
          </w:tcPr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Q.86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  <w:tcBorders>
              <w:bottom w:val="nil"/>
              <w:right w:val="nil"/>
            </w:tcBorders>
          </w:tcPr>
          <w:p w:rsidR="00C01CDA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Health Activities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1CDA" w:rsidRPr="00E17FBD" w:rsidTr="00C01CDA">
        <w:trPr>
          <w:trHeight w:val="207"/>
        </w:trPr>
        <w:tc>
          <w:tcPr>
            <w:tcW w:w="4068" w:type="dxa"/>
            <w:tcBorders>
              <w:left w:val="nil"/>
              <w:bottom w:val="nil"/>
            </w:tcBorders>
          </w:tcPr>
          <w:p w:rsidR="00C01CDA" w:rsidRPr="00E17FBD" w:rsidRDefault="00C01CDA" w:rsidP="00541FA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R.90.03</w:t>
            </w:r>
            <w:r w:rsidRPr="00E17F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95" w:type="dxa"/>
            <w:tcBorders>
              <w:bottom w:val="nil"/>
              <w:right w:val="nil"/>
            </w:tcBorders>
          </w:tcPr>
          <w:p w:rsidR="00C01CDA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Artistic Creation</w:t>
            </w:r>
          </w:p>
          <w:p w:rsidR="00C01CDA" w:rsidRPr="00E17FBD" w:rsidRDefault="00C01CDA" w:rsidP="00541FAA">
            <w:pPr>
              <w:pStyle w:val="Default"/>
              <w:ind w:firstLine="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1CDA" w:rsidRDefault="00C01CDA" w:rsidP="00E17FBD"/>
    <w:sectPr w:rsidR="00C01CDA" w:rsidSect="00410C4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9B" w:rsidRPr="00E17FBD" w:rsidRDefault="00415C9B" w:rsidP="00E17FBD">
      <w:pPr>
        <w:spacing w:after="0" w:line="240" w:lineRule="auto"/>
      </w:pPr>
      <w:r>
        <w:separator/>
      </w:r>
    </w:p>
  </w:endnote>
  <w:endnote w:type="continuationSeparator" w:id="1">
    <w:p w:rsidR="00415C9B" w:rsidRPr="00E17FBD" w:rsidRDefault="00415C9B" w:rsidP="00E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51387"/>
      <w:docPartObj>
        <w:docPartGallery w:val="Page Numbers (Bottom of Page)"/>
        <w:docPartUnique/>
      </w:docPartObj>
    </w:sdtPr>
    <w:sdtContent>
      <w:p w:rsidR="00E17FBD" w:rsidRDefault="00E53FBB">
        <w:pPr>
          <w:pStyle w:val="Footer"/>
        </w:pPr>
        <w:r w:rsidRPr="00E53FBB">
          <w:rPr>
            <w:noProof/>
            <w:lang w:val="en-US" w:eastAsia="zh-TW"/>
          </w:rPr>
          <w:pict>
            <v:oval id="_x0000_s1025" style="position:absolute;margin-left:0;margin-top:0;width:28.65pt;height:30.8pt;rotation:-180;flip:x;z-index:251663360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E17FBD" w:rsidRPr="00E17FBD" w:rsidRDefault="00E53FBB">
                    <w:pPr>
                      <w:pStyle w:val="Footer"/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E17FBD">
                      <w:rPr>
                        <w:sz w:val="16"/>
                        <w:szCs w:val="16"/>
                      </w:rPr>
                      <w:fldChar w:fldCharType="begin"/>
                    </w:r>
                    <w:r w:rsidR="00E17FBD" w:rsidRPr="00E17FBD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17FBD">
                      <w:rPr>
                        <w:sz w:val="16"/>
                        <w:szCs w:val="16"/>
                      </w:rPr>
                      <w:fldChar w:fldCharType="separate"/>
                    </w:r>
                    <w:r w:rsidR="00484209" w:rsidRPr="00484209">
                      <w:rPr>
                        <w:noProof/>
                        <w:color w:val="4F81BD" w:themeColor="accent1"/>
                        <w:sz w:val="16"/>
                        <w:szCs w:val="16"/>
                      </w:rPr>
                      <w:t>1</w:t>
                    </w:r>
                    <w:r w:rsidRPr="00E17FB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9B" w:rsidRPr="00E17FBD" w:rsidRDefault="00415C9B" w:rsidP="00E17FBD">
      <w:pPr>
        <w:spacing w:after="0" w:line="240" w:lineRule="auto"/>
      </w:pPr>
      <w:r>
        <w:separator/>
      </w:r>
    </w:p>
  </w:footnote>
  <w:footnote w:type="continuationSeparator" w:id="1">
    <w:p w:rsidR="00415C9B" w:rsidRPr="00E17FBD" w:rsidRDefault="00415C9B" w:rsidP="00E1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62" w:rsidRDefault="00523A62" w:rsidP="00523A62">
    <w:pPr>
      <w:pStyle w:val="Heading1"/>
      <w:ind w:left="851"/>
    </w:pPr>
    <w:r>
      <w:rPr>
        <w:rFonts w:asciiTheme="minorHAnsi" w:hAnsiTheme="minorHAnsi"/>
      </w:rPr>
      <w:t xml:space="preserve">Qualifying </w:t>
    </w:r>
    <w:r w:rsidR="00A57D7C">
      <w:rPr>
        <w:rFonts w:asciiTheme="minorHAnsi" w:hAnsiTheme="minorHAnsi"/>
      </w:rPr>
      <w:t>NACE Codes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523A62">
      <w:rPr>
        <w:rFonts w:asciiTheme="minorHAnsi" w:hAnsiTheme="minorHAnsi"/>
        <w:noProof/>
        <w:lang w:eastAsia="en-GB"/>
      </w:rPr>
      <w:drawing>
        <wp:inline distT="0" distB="0" distL="0" distR="0">
          <wp:extent cx="1371600" cy="786237"/>
          <wp:effectExtent l="19050" t="0" r="0" b="0"/>
          <wp:docPr id="4" name="Picture 0" descr="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8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Toc312145155"/>
    <w:bookmarkStart w:id="1" w:name="_Toc394947743"/>
    <w:bookmarkStart w:id="2" w:name="_Toc397518672"/>
    <w:bookmarkStart w:id="3" w:name="_Toc412699260"/>
    <w:r w:rsidRPr="00A527EE">
      <w:rPr>
        <w:rFonts w:asciiTheme="minorHAnsi" w:hAnsiTheme="minorHAnsi"/>
        <w:color w:val="000000"/>
        <w:sz w:val="36"/>
        <w:szCs w:val="36"/>
        <w:lang w:eastAsia="en-GB"/>
      </w:rPr>
      <w:t xml:space="preserve">Investment Aid Tax Credits </w:t>
    </w:r>
    <w:bookmarkEnd w:id="0"/>
    <w:r w:rsidRPr="00A527EE">
      <w:rPr>
        <w:rFonts w:asciiTheme="minorHAnsi" w:hAnsiTheme="minorHAnsi"/>
        <w:color w:val="000000"/>
        <w:sz w:val="36"/>
        <w:szCs w:val="36"/>
        <w:lang w:eastAsia="en-GB"/>
      </w:rPr>
      <w:t xml:space="preserve">2014 </w:t>
    </w:r>
    <w:r>
      <w:rPr>
        <w:rFonts w:asciiTheme="minorHAnsi" w:hAnsiTheme="minorHAnsi"/>
        <w:color w:val="000000"/>
        <w:sz w:val="36"/>
        <w:szCs w:val="36"/>
        <w:lang w:eastAsia="en-GB"/>
      </w:rPr>
      <w:t>–</w:t>
    </w:r>
    <w:r w:rsidRPr="00A527EE">
      <w:rPr>
        <w:rFonts w:asciiTheme="minorHAnsi" w:hAnsiTheme="minorHAnsi"/>
        <w:color w:val="000000"/>
        <w:sz w:val="36"/>
        <w:szCs w:val="36"/>
        <w:lang w:eastAsia="en-GB"/>
      </w:rPr>
      <w:t xml:space="preserve"> 2020</w:t>
    </w:r>
    <w:bookmarkEnd w:id="1"/>
    <w:bookmarkEnd w:id="2"/>
    <w:bookmarkEnd w:id="3"/>
    <w:r>
      <w:rPr>
        <w:rFonts w:asciiTheme="minorHAnsi" w:hAnsiTheme="minorHAnsi"/>
        <w:color w:val="000000"/>
        <w:sz w:val="36"/>
        <w:szCs w:val="36"/>
        <w:lang w:eastAsia="en-GB"/>
      </w:rPr>
      <w:t xml:space="preserve"> </w:t>
    </w:r>
  </w:p>
  <w:p w:rsidR="00E17FBD" w:rsidRDefault="00E17FBD" w:rsidP="00523A62">
    <w:pPr>
      <w:pStyle w:val="Header"/>
    </w:pPr>
    <w:r w:rsidRPr="00E17FBD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1085215" cy="1076325"/>
          <wp:effectExtent l="19050" t="0" r="635" b="0"/>
          <wp:wrapNone/>
          <wp:docPr id="30" name="Picture 2" descr="Macintosh HD:Users:nigelanastasi:Desktop:dot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gelanastasi:Desktop:dots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17FBD"/>
    <w:rsid w:val="00102450"/>
    <w:rsid w:val="002832C6"/>
    <w:rsid w:val="002B0279"/>
    <w:rsid w:val="0035556B"/>
    <w:rsid w:val="00410C45"/>
    <w:rsid w:val="00415C9B"/>
    <w:rsid w:val="00484209"/>
    <w:rsid w:val="00523A62"/>
    <w:rsid w:val="00537D6A"/>
    <w:rsid w:val="005851D3"/>
    <w:rsid w:val="005C6699"/>
    <w:rsid w:val="0067446B"/>
    <w:rsid w:val="00762165"/>
    <w:rsid w:val="008B5986"/>
    <w:rsid w:val="009953CC"/>
    <w:rsid w:val="009E0D21"/>
    <w:rsid w:val="00A57D7C"/>
    <w:rsid w:val="00A7103D"/>
    <w:rsid w:val="00AF0BA9"/>
    <w:rsid w:val="00B1496A"/>
    <w:rsid w:val="00B46C83"/>
    <w:rsid w:val="00C01CDA"/>
    <w:rsid w:val="00C8515C"/>
    <w:rsid w:val="00CB42F3"/>
    <w:rsid w:val="00CC033E"/>
    <w:rsid w:val="00D57763"/>
    <w:rsid w:val="00E17FBD"/>
    <w:rsid w:val="00E5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45"/>
  </w:style>
  <w:style w:type="paragraph" w:styleId="Heading1">
    <w:name w:val="heading 1"/>
    <w:basedOn w:val="Normal"/>
    <w:next w:val="Normal"/>
    <w:link w:val="Heading1Char"/>
    <w:uiPriority w:val="99"/>
    <w:qFormat/>
    <w:rsid w:val="00E17FBD"/>
    <w:pPr>
      <w:keepNext/>
      <w:spacing w:after="0" w:line="240" w:lineRule="auto"/>
      <w:outlineLvl w:val="0"/>
    </w:pPr>
    <w:rPr>
      <w:rFonts w:ascii="DINPro-Medium" w:eastAsia="Times New Roman" w:hAnsi="DINPro-Medium" w:cs="Times New Roman"/>
      <w:color w:val="009DDC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17FBD"/>
    <w:rPr>
      <w:rFonts w:ascii="DINPro-Medium" w:eastAsia="Times New Roman" w:hAnsi="DINPro-Medium" w:cs="Times New Roman"/>
      <w:color w:val="009DDC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BD"/>
  </w:style>
  <w:style w:type="paragraph" w:styleId="Footer">
    <w:name w:val="footer"/>
    <w:basedOn w:val="Normal"/>
    <w:link w:val="FooterChar"/>
    <w:uiPriority w:val="99"/>
    <w:unhideWhenUsed/>
    <w:rsid w:val="00E1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BD"/>
  </w:style>
  <w:style w:type="paragraph" w:styleId="BalloonText">
    <w:name w:val="Balloon Text"/>
    <w:basedOn w:val="Normal"/>
    <w:link w:val="BalloonTextChar"/>
    <w:uiPriority w:val="99"/>
    <w:semiHidden/>
    <w:unhideWhenUsed/>
    <w:rsid w:val="0052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7D7C"/>
    <w:rPr>
      <w:strike w:val="0"/>
      <w:dstrike w:val="0"/>
      <w:color w:val="009DDC"/>
      <w:sz w:val="24"/>
      <w:szCs w:val="24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services.gov.mt/DownloadDocument.aspx?app=lom&amp;itemid=12252&amp;l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jcaruana</dc:creator>
  <cp:lastModifiedBy>johann.caruana</cp:lastModifiedBy>
  <cp:revision>2</cp:revision>
  <cp:lastPrinted>2015-11-10T07:55:00Z</cp:lastPrinted>
  <dcterms:created xsi:type="dcterms:W3CDTF">2017-07-20T14:25:00Z</dcterms:created>
  <dcterms:modified xsi:type="dcterms:W3CDTF">2017-07-20T14:25:00Z</dcterms:modified>
</cp:coreProperties>
</file>